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B951B">
      <w:pPr>
        <w:jc w:val="both"/>
        <w:rPr>
          <w:rFonts w:ascii="黑体" w:eastAsia="黑体"/>
          <w:sz w:val="32"/>
          <w:szCs w:val="32"/>
        </w:rPr>
      </w:pPr>
    </w:p>
    <w:p w14:paraId="705D61F0">
      <w:pPr>
        <w:jc w:val="both"/>
        <w:rPr>
          <w:rFonts w:ascii="黑体" w:eastAsia="黑体"/>
          <w:sz w:val="32"/>
          <w:szCs w:val="32"/>
        </w:rPr>
      </w:pPr>
    </w:p>
    <w:p w14:paraId="7656F2F3">
      <w:pPr>
        <w:jc w:val="center"/>
        <w:rPr>
          <w:rFonts w:ascii="黑体" w:eastAsia="黑体"/>
          <w:sz w:val="32"/>
          <w:szCs w:val="32"/>
        </w:rPr>
      </w:pPr>
      <w:r>
        <w:rPr>
          <w:rFonts w:hint="eastAsia" w:ascii="黑体" w:eastAsia="黑体"/>
          <w:sz w:val="32"/>
          <w:szCs w:val="32"/>
        </w:rPr>
        <w:t>中国石化青岛石油化工有限责任公司</w:t>
      </w:r>
    </w:p>
    <w:p w14:paraId="740EFC71">
      <w:pPr>
        <w:jc w:val="center"/>
        <w:rPr>
          <w:rFonts w:hint="eastAsia" w:ascii="黑体" w:eastAsia="黑体"/>
          <w:b/>
          <w:sz w:val="72"/>
          <w:szCs w:val="72"/>
          <w:lang w:val="en-US" w:eastAsia="zh-CN"/>
        </w:rPr>
      </w:pPr>
      <w:r>
        <w:rPr>
          <w:rFonts w:hint="eastAsia" w:ascii="黑体" w:eastAsia="黑体"/>
          <w:b/>
          <w:sz w:val="72"/>
          <w:szCs w:val="72"/>
          <w:lang w:val="en-US" w:eastAsia="zh-CN"/>
        </w:rPr>
        <w:t>重大危险源事故</w:t>
      </w:r>
    </w:p>
    <w:p w14:paraId="6EC02DFF">
      <w:pPr>
        <w:jc w:val="center"/>
        <w:rPr>
          <w:rFonts w:ascii="黑体" w:eastAsia="黑体"/>
          <w:sz w:val="44"/>
        </w:rPr>
      </w:pPr>
      <w:r>
        <w:rPr>
          <w:rFonts w:hint="eastAsia" w:ascii="黑体" w:eastAsia="黑体"/>
          <w:b/>
          <w:sz w:val="72"/>
          <w:szCs w:val="72"/>
          <w:lang w:val="en-US" w:eastAsia="zh-CN"/>
        </w:rPr>
        <w:t>专项</w:t>
      </w:r>
      <w:r>
        <w:rPr>
          <w:rFonts w:hint="eastAsia" w:ascii="黑体" w:eastAsia="黑体"/>
          <w:b/>
          <w:sz w:val="72"/>
          <w:szCs w:val="72"/>
        </w:rPr>
        <w:t>应急预案</w:t>
      </w:r>
    </w:p>
    <w:p w14:paraId="19F31B4A">
      <w:pPr>
        <w:jc w:val="center"/>
        <w:rPr>
          <w:rFonts w:ascii="黑体" w:eastAsia="黑体"/>
          <w:sz w:val="44"/>
        </w:rPr>
      </w:pPr>
    </w:p>
    <w:p w14:paraId="7610741C">
      <w:pPr>
        <w:jc w:val="center"/>
        <w:rPr>
          <w:rFonts w:ascii="黑体" w:eastAsia="黑体"/>
          <w:sz w:val="44"/>
        </w:rPr>
      </w:pPr>
    </w:p>
    <w:p w14:paraId="0AA760BC">
      <w:pPr>
        <w:ind w:right="140"/>
        <w:jc w:val="center"/>
        <w:rPr>
          <w:rFonts w:hint="default" w:ascii="宋体" w:eastAsia="宋体"/>
          <w:sz w:val="32"/>
          <w:szCs w:val="32"/>
          <w:highlight w:val="none"/>
          <w:lang w:val="en-US" w:eastAsia="zh-CN"/>
        </w:rPr>
      </w:pPr>
      <w:r>
        <w:rPr>
          <w:rFonts w:hint="eastAsia" w:ascii="宋体" w:hAnsi="宋体"/>
          <w:sz w:val="32"/>
          <w:szCs w:val="32"/>
        </w:rPr>
        <w:t>预案编号：</w:t>
      </w:r>
      <w:r>
        <w:rPr>
          <w:rFonts w:hint="eastAsia" w:ascii="宋体"/>
          <w:sz w:val="32"/>
          <w:szCs w:val="32"/>
          <w:highlight w:val="none"/>
        </w:rPr>
        <w:t>QDSH-T4.06.11.</w:t>
      </w:r>
      <w:r>
        <w:rPr>
          <w:rFonts w:hint="eastAsia" w:ascii="宋体"/>
          <w:sz w:val="32"/>
          <w:szCs w:val="32"/>
          <w:highlight w:val="none"/>
          <w:lang w:val="en-US" w:eastAsia="zh-CN"/>
        </w:rPr>
        <w:t>034</w:t>
      </w:r>
      <w:r>
        <w:rPr>
          <w:rFonts w:hint="eastAsia" w:ascii="宋体"/>
          <w:sz w:val="32"/>
          <w:szCs w:val="32"/>
          <w:highlight w:val="none"/>
        </w:rPr>
        <w:t>.</w:t>
      </w:r>
      <w:r>
        <w:rPr>
          <w:rFonts w:hint="eastAsia" w:ascii="宋体"/>
          <w:sz w:val="32"/>
          <w:szCs w:val="32"/>
          <w:highlight w:val="none"/>
          <w:lang w:val="en-US" w:eastAsia="zh-CN"/>
        </w:rPr>
        <w:t>2026</w:t>
      </w:r>
    </w:p>
    <w:p w14:paraId="392875F2">
      <w:pPr>
        <w:jc w:val="center"/>
        <w:rPr>
          <w:rFonts w:hint="eastAsia" w:ascii="宋体" w:eastAsia="宋体"/>
          <w:sz w:val="32"/>
          <w:szCs w:val="32"/>
          <w:lang w:val="en-US" w:eastAsia="zh-CN"/>
        </w:rPr>
      </w:pPr>
      <w:r>
        <w:rPr>
          <w:rFonts w:hint="eastAsia" w:ascii="宋体"/>
          <w:sz w:val="32"/>
          <w:szCs w:val="32"/>
        </w:rPr>
        <w:t>版 本 号：</w:t>
      </w:r>
      <w:r>
        <w:rPr>
          <w:rFonts w:hint="eastAsia" w:ascii="宋体"/>
          <w:sz w:val="32"/>
          <w:szCs w:val="32"/>
          <w:lang w:val="en-US" w:eastAsia="zh-CN"/>
        </w:rPr>
        <w:t>A</w:t>
      </w:r>
      <w:r>
        <w:rPr>
          <w:rFonts w:hint="eastAsia" w:ascii="宋体"/>
          <w:sz w:val="32"/>
          <w:szCs w:val="32"/>
        </w:rPr>
        <w:t>/</w:t>
      </w:r>
      <w:r>
        <w:rPr>
          <w:rFonts w:hint="eastAsia" w:ascii="宋体"/>
          <w:sz w:val="32"/>
          <w:szCs w:val="32"/>
          <w:lang w:val="en-US" w:eastAsia="zh-CN"/>
        </w:rPr>
        <w:t>1</w:t>
      </w:r>
    </w:p>
    <w:p w14:paraId="5837C851">
      <w:pPr>
        <w:jc w:val="center"/>
        <w:rPr>
          <w:rFonts w:ascii="宋体"/>
          <w:sz w:val="32"/>
          <w:szCs w:val="32"/>
        </w:rPr>
      </w:pPr>
    </w:p>
    <w:p w14:paraId="59647FFD">
      <w:pPr>
        <w:jc w:val="both"/>
        <w:rPr>
          <w:rFonts w:ascii="黑体" w:eastAsia="黑体"/>
          <w:sz w:val="44"/>
        </w:rPr>
      </w:pPr>
    </w:p>
    <w:p w14:paraId="1AD0460F">
      <w:pPr>
        <w:jc w:val="center"/>
        <w:rPr>
          <w:rFonts w:ascii="黑体" w:eastAsia="黑体"/>
          <w:sz w:val="44"/>
        </w:rPr>
      </w:pPr>
    </w:p>
    <w:p w14:paraId="36667819">
      <w:pPr>
        <w:jc w:val="center"/>
        <w:rPr>
          <w:rFonts w:ascii="宋体"/>
        </w:rPr>
      </w:pPr>
      <w:r>
        <w:rPr>
          <w:rFonts w:hint="eastAsia" w:ascii="黑体" w:eastAsia="黑体"/>
          <w:sz w:val="28"/>
        </w:rPr>
        <w:t>202</w:t>
      </w:r>
      <w:r>
        <w:rPr>
          <w:rFonts w:hint="eastAsia" w:ascii="黑体" w:eastAsia="黑体"/>
          <w:sz w:val="28"/>
          <w:lang w:val="en-US" w:eastAsia="zh-CN"/>
        </w:rPr>
        <w:t>6</w:t>
      </w:r>
      <w:r>
        <w:rPr>
          <w:rFonts w:hint="eastAsia" w:ascii="黑体" w:eastAsia="黑体"/>
          <w:sz w:val="28"/>
        </w:rPr>
        <w:t>-</w:t>
      </w:r>
      <w:r>
        <w:rPr>
          <w:rFonts w:hint="eastAsia" w:ascii="黑体" w:eastAsia="黑体"/>
          <w:sz w:val="28"/>
          <w:lang w:val="en-US" w:eastAsia="zh-CN"/>
        </w:rPr>
        <w:t>1</w:t>
      </w:r>
      <w:r>
        <w:rPr>
          <w:rFonts w:hint="eastAsia" w:ascii="黑体" w:eastAsia="黑体"/>
          <w:sz w:val="28"/>
        </w:rPr>
        <w:t>-</w:t>
      </w:r>
      <w:r>
        <w:rPr>
          <w:rFonts w:hint="eastAsia" w:ascii="黑体" w:eastAsia="黑体"/>
          <w:sz w:val="28"/>
          <w:lang w:val="en-US" w:eastAsia="zh-CN"/>
        </w:rPr>
        <w:t>27</w:t>
      </w:r>
      <w:r>
        <w:rPr>
          <w:rFonts w:hint="eastAsia" w:ascii="黑体" w:eastAsia="黑体"/>
          <w:sz w:val="28"/>
        </w:rPr>
        <w:t>发布                     202</w:t>
      </w:r>
      <w:r>
        <w:rPr>
          <w:rFonts w:hint="eastAsia" w:ascii="黑体" w:eastAsia="黑体"/>
          <w:sz w:val="28"/>
          <w:lang w:val="en-US" w:eastAsia="zh-CN"/>
        </w:rPr>
        <w:t>6</w:t>
      </w:r>
      <w:r>
        <w:rPr>
          <w:rFonts w:hint="eastAsia" w:ascii="黑体" w:eastAsia="黑体"/>
          <w:sz w:val="28"/>
        </w:rPr>
        <w:t>-</w:t>
      </w:r>
      <w:r>
        <w:rPr>
          <w:rFonts w:hint="eastAsia" w:ascii="黑体" w:eastAsia="黑体"/>
          <w:sz w:val="28"/>
          <w:lang w:val="en-US" w:eastAsia="zh-CN"/>
        </w:rPr>
        <w:t>1</w:t>
      </w:r>
      <w:r>
        <w:rPr>
          <w:rFonts w:hint="eastAsia" w:ascii="黑体" w:eastAsia="黑体"/>
          <w:sz w:val="28"/>
        </w:rPr>
        <w:t>-</w:t>
      </w:r>
      <w:r>
        <w:rPr>
          <w:rFonts w:hint="eastAsia" w:ascii="黑体" w:eastAsia="黑体"/>
          <w:sz w:val="28"/>
          <w:lang w:val="en-US" w:eastAsia="zh-CN"/>
        </w:rPr>
        <w:t>29</w:t>
      </w:r>
      <w:bookmarkStart w:id="137" w:name="_GoBack"/>
      <w:bookmarkEnd w:id="137"/>
      <w:r>
        <w:rPr>
          <w:rFonts w:hint="eastAsia" w:ascii="黑体" w:eastAsia="黑体"/>
          <w:sz w:val="28"/>
        </w:rPr>
        <w:t>实施</w:t>
      </w:r>
    </w:p>
    <w:p w14:paraId="270A04BA">
      <w:pPr>
        <w:rPr>
          <w:rFonts w:ascii="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265420"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526542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top:0pt;height:0pt;width:414.6pt;mso-position-horizontal:center;mso-position-horizontal-relative:margin;z-index:251659264;mso-width-relative:page;mso-height-relative:page;" filled="f" stroked="t" coordsize="21600,21600" o:gfxdata="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D4SyK0QAAAAIB&#10;AAAPAAAAAAAAAAEAIAAAACIAAABkcnMvZG93bnJldi54bWxQSwECFAAUAAAACACHTuJAFHYQbOkB&#10;AAC6AwAADgAAAAAAAAABACAAAAAgAQAAZHJzL2Uyb0RvYy54bWxQSwUGAAAAAAYABgBZAQAAewUA&#10;AAAA&#10;">
                <v:fill on="f" focussize="0,0"/>
                <v:stroke color="#000000" joinstyle="round"/>
                <v:imagedata o:title=""/>
                <o:lock v:ext="edit" aspectratio="f"/>
              </v:line>
            </w:pict>
          </mc:Fallback>
        </mc:AlternateContent>
      </w:r>
    </w:p>
    <w:p w14:paraId="5A9BC855">
      <w:pPr>
        <w:jc w:val="center"/>
      </w:pPr>
      <w:r>
        <w:rPr>
          <w:rFonts w:hint="eastAsia" w:ascii="楷体_GB2312" w:eastAsia="楷体_GB2312"/>
          <w:b/>
          <w:sz w:val="32"/>
          <w:szCs w:val="32"/>
        </w:rPr>
        <w:t>编制单位：中国石化青岛石油化工有限责任公司</w:t>
      </w:r>
    </w:p>
    <w:p w14:paraId="777460E9">
      <w:pPr>
        <w:widowControl w:val="0"/>
        <w:spacing w:after="0" w:line="360" w:lineRule="exact"/>
        <w:ind w:right="420"/>
        <w:jc w:val="right"/>
        <w:rPr>
          <w:rFonts w:ascii="宋体" w:hAnsi="宋体" w:cs="Arial"/>
          <w:sz w:val="21"/>
          <w:szCs w:val="21"/>
        </w:rPr>
        <w:sectPr>
          <w:headerReference r:id="rId5" w:type="default"/>
          <w:footerReference r:id="rId6" w:type="default"/>
          <w:pgSz w:w="11906" w:h="16838"/>
          <w:pgMar w:top="1440" w:right="1803" w:bottom="1440" w:left="1803" w:header="851" w:footer="992" w:gutter="0"/>
          <w:cols w:space="0" w:num="1"/>
          <w:rtlGutter w:val="0"/>
          <w:docGrid w:type="lines" w:linePitch="312" w:charSpace="0"/>
        </w:sectPr>
      </w:pPr>
    </w:p>
    <w:sdt>
      <w:sdtPr>
        <w:rPr>
          <w:rFonts w:ascii="Calibri" w:hAnsi="Calibri" w:eastAsia="宋体" w:cs="Times New Roman"/>
          <w:color w:val="auto"/>
          <w:sz w:val="22"/>
          <w:szCs w:val="22"/>
          <w:lang w:val="zh-CN"/>
        </w:rPr>
        <w:id w:val="1063223327"/>
        <w:docPartObj>
          <w:docPartGallery w:val="Table of Contents"/>
          <w:docPartUnique/>
        </w:docPartObj>
      </w:sdtPr>
      <w:sdtEndPr>
        <w:rPr>
          <w:rFonts w:ascii="Calibri" w:hAnsi="Calibri" w:eastAsia="宋体" w:cs="Times New Roman"/>
          <w:b/>
          <w:bCs/>
          <w:color w:val="auto"/>
          <w:sz w:val="22"/>
          <w:szCs w:val="22"/>
          <w:lang w:val="zh-CN"/>
        </w:rPr>
      </w:sdtEndPr>
      <w:sdtContent>
        <w:p w14:paraId="3F487099">
          <w:pPr>
            <w:pStyle w:val="22"/>
            <w:jc w:val="center"/>
          </w:pPr>
          <w:bookmarkStart w:id="0" w:name="_Toc47970985"/>
          <w:r>
            <w:rPr>
              <w:b/>
              <w:bCs/>
              <w:color w:val="auto"/>
              <w:lang w:val="zh-CN"/>
            </w:rPr>
            <w:t>目录</w:t>
          </w:r>
        </w:p>
        <w:p w14:paraId="19EC05A8">
          <w:pPr>
            <w:pStyle w:val="11"/>
            <w:tabs>
              <w:tab w:val="right" w:leader="dot" w:pos="8448"/>
            </w:tabs>
          </w:pPr>
          <w:r>
            <w:fldChar w:fldCharType="begin"/>
          </w:r>
          <w:r>
            <w:instrText xml:space="preserve"> TOC \o "1-3" \h \z \u </w:instrText>
          </w:r>
          <w:r>
            <w:fldChar w:fldCharType="separate"/>
          </w:r>
          <w:r>
            <w:rPr>
              <w:bCs/>
              <w:lang w:val="zh-CN"/>
            </w:rPr>
            <w:fldChar w:fldCharType="begin"/>
          </w:r>
          <w:r>
            <w:rPr>
              <w:bCs/>
              <w:lang w:val="zh-CN"/>
            </w:rPr>
            <w:instrText xml:space="preserve"> HYPERLINK \l _Toc29682 </w:instrText>
          </w:r>
          <w:r>
            <w:rPr>
              <w:bCs/>
              <w:lang w:val="zh-CN"/>
            </w:rPr>
            <w:fldChar w:fldCharType="separate"/>
          </w:r>
          <w:r>
            <w:rPr>
              <w:rFonts w:hint="eastAsia" w:ascii="黑体" w:hAnsi="宋体" w:eastAsia="黑体"/>
              <w:bCs/>
              <w:szCs w:val="21"/>
            </w:rPr>
            <w:t xml:space="preserve">1  </w:t>
          </w:r>
          <w:r>
            <w:rPr>
              <w:rFonts w:hint="eastAsia" w:ascii="黑体" w:hAnsi="宋体" w:eastAsia="黑体"/>
              <w:szCs w:val="21"/>
            </w:rPr>
            <w:t>适用范围</w:t>
          </w:r>
          <w:r>
            <w:tab/>
          </w:r>
          <w:r>
            <w:fldChar w:fldCharType="begin"/>
          </w:r>
          <w:r>
            <w:instrText xml:space="preserve"> PAGEREF _Toc29682 \h </w:instrText>
          </w:r>
          <w:r>
            <w:fldChar w:fldCharType="separate"/>
          </w:r>
          <w:r>
            <w:t>1</w:t>
          </w:r>
          <w:r>
            <w:fldChar w:fldCharType="end"/>
          </w:r>
          <w:r>
            <w:rPr>
              <w:bCs/>
              <w:lang w:val="zh-CN"/>
            </w:rPr>
            <w:fldChar w:fldCharType="end"/>
          </w:r>
        </w:p>
        <w:p w14:paraId="1B377AC5">
          <w:pPr>
            <w:pStyle w:val="11"/>
            <w:tabs>
              <w:tab w:val="right" w:leader="dot" w:pos="8448"/>
            </w:tabs>
          </w:pPr>
          <w:r>
            <w:rPr>
              <w:bCs/>
              <w:lang w:val="zh-CN"/>
            </w:rPr>
            <w:fldChar w:fldCharType="begin"/>
          </w:r>
          <w:r>
            <w:rPr>
              <w:bCs/>
              <w:lang w:val="zh-CN"/>
            </w:rPr>
            <w:instrText xml:space="preserve"> HYPERLINK \l _Toc7318 </w:instrText>
          </w:r>
          <w:r>
            <w:rPr>
              <w:bCs/>
              <w:lang w:val="zh-CN"/>
            </w:rPr>
            <w:fldChar w:fldCharType="separate"/>
          </w:r>
          <w:r>
            <w:rPr>
              <w:rFonts w:hint="eastAsia" w:ascii="黑体" w:hAnsi="宋体" w:eastAsia="黑体"/>
              <w:szCs w:val="21"/>
              <w:lang w:val="en-US" w:eastAsia="zh-CN"/>
            </w:rPr>
            <w:t>2</w:t>
          </w:r>
          <w:r>
            <w:rPr>
              <w:rFonts w:hint="eastAsia" w:ascii="黑体" w:hAnsi="宋体" w:eastAsia="黑体"/>
              <w:szCs w:val="21"/>
            </w:rPr>
            <w:t xml:space="preserve">  </w:t>
          </w:r>
          <w:r>
            <w:rPr>
              <w:rFonts w:hint="eastAsia" w:ascii="黑体" w:hAnsi="宋体" w:eastAsia="黑体"/>
              <w:szCs w:val="21"/>
              <w:lang w:val="en-US" w:eastAsia="zh-CN"/>
            </w:rPr>
            <w:t>事故风险分析</w:t>
          </w:r>
          <w:r>
            <w:tab/>
          </w:r>
          <w:r>
            <w:fldChar w:fldCharType="begin"/>
          </w:r>
          <w:r>
            <w:instrText xml:space="preserve"> PAGEREF _Toc7318 \h </w:instrText>
          </w:r>
          <w:r>
            <w:fldChar w:fldCharType="separate"/>
          </w:r>
          <w:r>
            <w:t>1</w:t>
          </w:r>
          <w:r>
            <w:fldChar w:fldCharType="end"/>
          </w:r>
          <w:r>
            <w:rPr>
              <w:bCs/>
              <w:lang w:val="zh-CN"/>
            </w:rPr>
            <w:fldChar w:fldCharType="end"/>
          </w:r>
        </w:p>
        <w:p w14:paraId="245AD490">
          <w:pPr>
            <w:pStyle w:val="11"/>
            <w:tabs>
              <w:tab w:val="right" w:leader="dot" w:pos="8448"/>
            </w:tabs>
          </w:pPr>
          <w:r>
            <w:rPr>
              <w:bCs/>
              <w:lang w:val="zh-CN"/>
            </w:rPr>
            <w:fldChar w:fldCharType="begin"/>
          </w:r>
          <w:r>
            <w:rPr>
              <w:bCs/>
              <w:lang w:val="zh-CN"/>
            </w:rPr>
            <w:instrText xml:space="preserve"> HYPERLINK \l _Toc13376 </w:instrText>
          </w:r>
          <w:r>
            <w:rPr>
              <w:bCs/>
              <w:lang w:val="zh-CN"/>
            </w:rPr>
            <w:fldChar w:fldCharType="separate"/>
          </w:r>
          <w:r>
            <w:rPr>
              <w:rFonts w:hint="eastAsia" w:ascii="黑体" w:hAnsi="宋体" w:eastAsia="黑体"/>
              <w:szCs w:val="21"/>
              <w:lang w:val="en-US" w:eastAsia="zh-CN"/>
            </w:rPr>
            <w:t>3</w:t>
          </w:r>
          <w:r>
            <w:rPr>
              <w:rFonts w:ascii="黑体" w:hAnsi="宋体" w:eastAsia="黑体"/>
              <w:szCs w:val="21"/>
            </w:rPr>
            <w:t xml:space="preserve">  </w:t>
          </w:r>
          <w:r>
            <w:rPr>
              <w:rFonts w:hint="eastAsia" w:ascii="黑体" w:hAnsi="宋体" w:eastAsia="黑体"/>
              <w:bCs w:val="0"/>
              <w:kern w:val="2"/>
              <w:szCs w:val="21"/>
            </w:rPr>
            <w:t>应急组织机构及职责</w:t>
          </w:r>
          <w:r>
            <w:tab/>
          </w:r>
          <w:r>
            <w:fldChar w:fldCharType="begin"/>
          </w:r>
          <w:r>
            <w:instrText xml:space="preserve"> PAGEREF _Toc13376 \h </w:instrText>
          </w:r>
          <w:r>
            <w:fldChar w:fldCharType="separate"/>
          </w:r>
          <w:r>
            <w:t>1</w:t>
          </w:r>
          <w:r>
            <w:fldChar w:fldCharType="end"/>
          </w:r>
          <w:r>
            <w:rPr>
              <w:bCs/>
              <w:lang w:val="zh-CN"/>
            </w:rPr>
            <w:fldChar w:fldCharType="end"/>
          </w:r>
        </w:p>
        <w:p w14:paraId="46803F29">
          <w:pPr>
            <w:pStyle w:val="11"/>
            <w:tabs>
              <w:tab w:val="right" w:leader="dot" w:pos="8448"/>
            </w:tabs>
          </w:pPr>
          <w:r>
            <w:rPr>
              <w:bCs/>
              <w:lang w:val="zh-CN"/>
            </w:rPr>
            <w:fldChar w:fldCharType="begin"/>
          </w:r>
          <w:r>
            <w:rPr>
              <w:bCs/>
              <w:lang w:val="zh-CN"/>
            </w:rPr>
            <w:instrText xml:space="preserve"> HYPERLINK \l _Toc20915 </w:instrText>
          </w:r>
          <w:r>
            <w:rPr>
              <w:bCs/>
              <w:lang w:val="zh-CN"/>
            </w:rPr>
            <w:fldChar w:fldCharType="separate"/>
          </w:r>
          <w:r>
            <w:rPr>
              <w:rFonts w:hint="eastAsia" w:ascii="黑体" w:hAnsi="宋体" w:eastAsia="黑体"/>
              <w:szCs w:val="21"/>
              <w:lang w:val="en-US" w:eastAsia="zh-CN"/>
            </w:rPr>
            <w:t>4  应急响应</w:t>
          </w:r>
          <w:r>
            <w:tab/>
          </w:r>
          <w:r>
            <w:fldChar w:fldCharType="begin"/>
          </w:r>
          <w:r>
            <w:instrText xml:space="preserve"> PAGEREF _Toc20915 \h </w:instrText>
          </w:r>
          <w:r>
            <w:fldChar w:fldCharType="separate"/>
          </w:r>
          <w:r>
            <w:t>1</w:t>
          </w:r>
          <w:r>
            <w:fldChar w:fldCharType="end"/>
          </w:r>
          <w:r>
            <w:rPr>
              <w:bCs/>
              <w:lang w:val="zh-CN"/>
            </w:rPr>
            <w:fldChar w:fldCharType="end"/>
          </w:r>
        </w:p>
        <w:p w14:paraId="14E31861">
          <w:pPr>
            <w:pStyle w:val="12"/>
            <w:tabs>
              <w:tab w:val="right" w:leader="dot" w:pos="8448"/>
            </w:tabs>
          </w:pPr>
          <w:r>
            <w:rPr>
              <w:bCs/>
              <w:lang w:val="zh-CN"/>
            </w:rPr>
            <w:fldChar w:fldCharType="begin"/>
          </w:r>
          <w:r>
            <w:rPr>
              <w:bCs/>
              <w:lang w:val="zh-CN"/>
            </w:rPr>
            <w:instrText xml:space="preserve"> HYPERLINK \l _Toc16499 </w:instrText>
          </w:r>
          <w:r>
            <w:rPr>
              <w:bCs/>
              <w:lang w:val="zh-CN"/>
            </w:rPr>
            <w:fldChar w:fldCharType="separate"/>
          </w:r>
          <w:r>
            <w:rPr>
              <w:rFonts w:hint="eastAsia" w:ascii="黑体" w:hAnsi="宋体" w:eastAsia="黑体"/>
              <w:szCs w:val="21"/>
              <w:lang w:val="en-US" w:eastAsia="zh-CN"/>
            </w:rPr>
            <w:t>4.1</w:t>
          </w:r>
          <w:r>
            <w:rPr>
              <w:rFonts w:ascii="黑体" w:hAnsi="宋体" w:eastAsia="黑体"/>
              <w:szCs w:val="21"/>
            </w:rPr>
            <w:t xml:space="preserve">  </w:t>
          </w:r>
          <w:r>
            <w:rPr>
              <w:rFonts w:hint="eastAsia" w:ascii="黑体" w:hAnsi="宋体" w:eastAsia="黑体"/>
              <w:szCs w:val="21"/>
              <w:lang w:val="en-US" w:eastAsia="zh-CN"/>
            </w:rPr>
            <w:t>启动</w:t>
          </w:r>
          <w:r>
            <w:tab/>
          </w:r>
          <w:r>
            <w:fldChar w:fldCharType="begin"/>
          </w:r>
          <w:r>
            <w:instrText xml:space="preserve"> PAGEREF _Toc16499 \h </w:instrText>
          </w:r>
          <w:r>
            <w:fldChar w:fldCharType="separate"/>
          </w:r>
          <w:r>
            <w:t>1</w:t>
          </w:r>
          <w:r>
            <w:fldChar w:fldCharType="end"/>
          </w:r>
          <w:r>
            <w:rPr>
              <w:bCs/>
              <w:lang w:val="zh-CN"/>
            </w:rPr>
            <w:fldChar w:fldCharType="end"/>
          </w:r>
        </w:p>
        <w:p w14:paraId="2C687962">
          <w:pPr>
            <w:pStyle w:val="12"/>
            <w:tabs>
              <w:tab w:val="right" w:leader="dot" w:pos="8448"/>
            </w:tabs>
          </w:pPr>
          <w:r>
            <w:rPr>
              <w:bCs/>
              <w:lang w:val="zh-CN"/>
            </w:rPr>
            <w:fldChar w:fldCharType="begin"/>
          </w:r>
          <w:r>
            <w:rPr>
              <w:bCs/>
              <w:lang w:val="zh-CN"/>
            </w:rPr>
            <w:instrText xml:space="preserve"> HYPERLINK \l _Toc410 </w:instrText>
          </w:r>
          <w:r>
            <w:rPr>
              <w:bCs/>
              <w:lang w:val="zh-CN"/>
            </w:rPr>
            <w:fldChar w:fldCharType="separate"/>
          </w:r>
          <w:r>
            <w:rPr>
              <w:rFonts w:hint="eastAsia" w:ascii="黑体" w:hAnsi="宋体" w:eastAsia="黑体"/>
              <w:szCs w:val="21"/>
              <w:lang w:val="en-US" w:eastAsia="zh-CN"/>
            </w:rPr>
            <w:t>4.2</w:t>
          </w:r>
          <w:r>
            <w:rPr>
              <w:rFonts w:hint="eastAsia" w:ascii="黑体" w:hAnsi="宋体" w:eastAsia="黑体"/>
              <w:szCs w:val="21"/>
            </w:rPr>
            <w:t xml:space="preserve">  </w:t>
          </w:r>
          <w:r>
            <w:rPr>
              <w:rFonts w:hint="eastAsia" w:ascii="黑体" w:hAnsi="宋体" w:eastAsia="黑体"/>
              <w:szCs w:val="21"/>
              <w:lang w:val="en-US" w:eastAsia="zh-CN"/>
            </w:rPr>
            <w:t>行动</w:t>
          </w:r>
          <w:r>
            <w:tab/>
          </w:r>
          <w:r>
            <w:fldChar w:fldCharType="begin"/>
          </w:r>
          <w:r>
            <w:instrText xml:space="preserve"> PAGEREF _Toc410 \h </w:instrText>
          </w:r>
          <w:r>
            <w:fldChar w:fldCharType="separate"/>
          </w:r>
          <w:r>
            <w:t>1</w:t>
          </w:r>
          <w:r>
            <w:fldChar w:fldCharType="end"/>
          </w:r>
          <w:r>
            <w:rPr>
              <w:bCs/>
              <w:lang w:val="zh-CN"/>
            </w:rPr>
            <w:fldChar w:fldCharType="end"/>
          </w:r>
        </w:p>
        <w:p w14:paraId="35C626F3">
          <w:pPr>
            <w:pStyle w:val="12"/>
            <w:tabs>
              <w:tab w:val="right" w:leader="dot" w:pos="8448"/>
            </w:tabs>
          </w:pPr>
          <w:r>
            <w:rPr>
              <w:bCs/>
              <w:lang w:val="zh-CN"/>
            </w:rPr>
            <w:fldChar w:fldCharType="begin"/>
          </w:r>
          <w:r>
            <w:rPr>
              <w:bCs/>
              <w:lang w:val="zh-CN"/>
            </w:rPr>
            <w:instrText xml:space="preserve"> HYPERLINK \l _Toc11748 </w:instrText>
          </w:r>
          <w:r>
            <w:rPr>
              <w:bCs/>
              <w:lang w:val="zh-CN"/>
            </w:rPr>
            <w:fldChar w:fldCharType="separate"/>
          </w:r>
          <w:r>
            <w:rPr>
              <w:rFonts w:hint="eastAsia" w:ascii="黑体" w:hAnsi="宋体" w:eastAsia="黑体"/>
              <w:szCs w:val="21"/>
              <w:lang w:val="en-US" w:eastAsia="zh-CN"/>
            </w:rPr>
            <w:t>4.3</w:t>
          </w:r>
          <w:r>
            <w:rPr>
              <w:rFonts w:hint="eastAsia" w:ascii="黑体" w:hAnsi="宋体" w:eastAsia="黑体"/>
              <w:szCs w:val="21"/>
            </w:rPr>
            <w:t xml:space="preserve">  </w:t>
          </w:r>
          <w:r>
            <w:rPr>
              <w:rFonts w:hint="eastAsia" w:ascii="黑体" w:hAnsi="宋体" w:eastAsia="黑体" w:cstheme="majorBidi"/>
              <w:bCs/>
              <w:spacing w:val="0"/>
              <w:szCs w:val="21"/>
            </w:rPr>
            <w:t>次生、衍生突发事件应急处置</w:t>
          </w:r>
          <w:r>
            <w:tab/>
          </w:r>
          <w:r>
            <w:fldChar w:fldCharType="begin"/>
          </w:r>
          <w:r>
            <w:instrText xml:space="preserve"> PAGEREF _Toc11748 \h </w:instrText>
          </w:r>
          <w:r>
            <w:fldChar w:fldCharType="separate"/>
          </w:r>
          <w:r>
            <w:t>2</w:t>
          </w:r>
          <w:r>
            <w:fldChar w:fldCharType="end"/>
          </w:r>
          <w:r>
            <w:rPr>
              <w:bCs/>
              <w:lang w:val="zh-CN"/>
            </w:rPr>
            <w:fldChar w:fldCharType="end"/>
          </w:r>
        </w:p>
        <w:p w14:paraId="7543895A">
          <w:pPr>
            <w:pStyle w:val="12"/>
            <w:tabs>
              <w:tab w:val="right" w:leader="dot" w:pos="8448"/>
            </w:tabs>
          </w:pPr>
          <w:r>
            <w:rPr>
              <w:bCs/>
              <w:lang w:val="zh-CN"/>
            </w:rPr>
            <w:fldChar w:fldCharType="begin"/>
          </w:r>
          <w:r>
            <w:rPr>
              <w:bCs/>
              <w:lang w:val="zh-CN"/>
            </w:rPr>
            <w:instrText xml:space="preserve"> HYPERLINK \l _Toc20981 </w:instrText>
          </w:r>
          <w:r>
            <w:rPr>
              <w:bCs/>
              <w:lang w:val="zh-CN"/>
            </w:rPr>
            <w:fldChar w:fldCharType="separate"/>
          </w:r>
          <w:r>
            <w:rPr>
              <w:rFonts w:hint="eastAsia" w:ascii="黑体" w:hAnsi="宋体" w:eastAsia="黑体"/>
              <w:szCs w:val="21"/>
              <w:lang w:val="en-US" w:eastAsia="zh-CN"/>
            </w:rPr>
            <w:t>4.4</w:t>
          </w:r>
          <w:r>
            <w:rPr>
              <w:rFonts w:hint="eastAsia" w:ascii="黑体" w:hAnsi="宋体" w:eastAsia="黑体"/>
              <w:szCs w:val="21"/>
            </w:rPr>
            <w:t xml:space="preserve">  </w:t>
          </w:r>
          <w:r>
            <w:rPr>
              <w:rFonts w:hint="eastAsia" w:ascii="黑体" w:hAnsi="宋体" w:eastAsia="黑体" w:cstheme="majorBidi"/>
              <w:bCs/>
              <w:spacing w:val="0"/>
              <w:szCs w:val="21"/>
            </w:rPr>
            <w:t>应急响应终止</w:t>
          </w:r>
          <w:r>
            <w:tab/>
          </w:r>
          <w:r>
            <w:fldChar w:fldCharType="begin"/>
          </w:r>
          <w:r>
            <w:instrText xml:space="preserve"> PAGEREF _Toc20981 \h </w:instrText>
          </w:r>
          <w:r>
            <w:fldChar w:fldCharType="separate"/>
          </w:r>
          <w:r>
            <w:t>2</w:t>
          </w:r>
          <w:r>
            <w:fldChar w:fldCharType="end"/>
          </w:r>
          <w:r>
            <w:rPr>
              <w:bCs/>
              <w:lang w:val="zh-CN"/>
            </w:rPr>
            <w:fldChar w:fldCharType="end"/>
          </w:r>
        </w:p>
        <w:p w14:paraId="2C9165C0">
          <w:pPr>
            <w:pStyle w:val="11"/>
            <w:tabs>
              <w:tab w:val="right" w:leader="dot" w:pos="8448"/>
            </w:tabs>
          </w:pPr>
          <w:r>
            <w:rPr>
              <w:bCs/>
              <w:lang w:val="zh-CN"/>
            </w:rPr>
            <w:fldChar w:fldCharType="begin"/>
          </w:r>
          <w:r>
            <w:rPr>
              <w:bCs/>
              <w:lang w:val="zh-CN"/>
            </w:rPr>
            <w:instrText xml:space="preserve"> HYPERLINK \l _Toc16995 </w:instrText>
          </w:r>
          <w:r>
            <w:rPr>
              <w:bCs/>
              <w:lang w:val="zh-CN"/>
            </w:rPr>
            <w:fldChar w:fldCharType="separate"/>
          </w:r>
          <w:r>
            <w:rPr>
              <w:rFonts w:hint="eastAsia" w:ascii="黑体" w:hAnsi="宋体" w:eastAsia="黑体"/>
              <w:szCs w:val="21"/>
              <w:lang w:val="en-US" w:eastAsia="zh-CN"/>
            </w:rPr>
            <w:t xml:space="preserve">5  </w:t>
          </w:r>
          <w:r>
            <w:rPr>
              <w:rFonts w:hint="eastAsia" w:ascii="黑体" w:hAnsi="宋体" w:eastAsia="黑体"/>
              <w:szCs w:val="21"/>
            </w:rPr>
            <w:t>现场应急处置指导原则</w:t>
          </w:r>
          <w:r>
            <w:tab/>
          </w:r>
          <w:r>
            <w:fldChar w:fldCharType="begin"/>
          </w:r>
          <w:r>
            <w:instrText xml:space="preserve"> PAGEREF _Toc16995 \h </w:instrText>
          </w:r>
          <w:r>
            <w:fldChar w:fldCharType="separate"/>
          </w:r>
          <w:r>
            <w:t>2</w:t>
          </w:r>
          <w:r>
            <w:fldChar w:fldCharType="end"/>
          </w:r>
          <w:r>
            <w:rPr>
              <w:bCs/>
              <w:lang w:val="zh-CN"/>
            </w:rPr>
            <w:fldChar w:fldCharType="end"/>
          </w:r>
        </w:p>
        <w:p w14:paraId="193A3EC5">
          <w:pPr>
            <w:pStyle w:val="12"/>
            <w:tabs>
              <w:tab w:val="right" w:leader="dot" w:pos="8448"/>
            </w:tabs>
          </w:pPr>
          <w:r>
            <w:rPr>
              <w:bCs/>
              <w:lang w:val="zh-CN"/>
            </w:rPr>
            <w:fldChar w:fldCharType="begin"/>
          </w:r>
          <w:r>
            <w:rPr>
              <w:bCs/>
              <w:lang w:val="zh-CN"/>
            </w:rPr>
            <w:instrText xml:space="preserve"> HYPERLINK \l _Toc5345 </w:instrText>
          </w:r>
          <w:r>
            <w:rPr>
              <w:bCs/>
              <w:lang w:val="zh-CN"/>
            </w:rPr>
            <w:fldChar w:fldCharType="separate"/>
          </w:r>
          <w:r>
            <w:rPr>
              <w:rFonts w:hint="default" w:ascii="黑体" w:hAnsi="黑体" w:eastAsia="黑体" w:cs="黑体"/>
              <w:bCs w:val="0"/>
              <w:szCs w:val="21"/>
              <w:lang w:val="en-US" w:eastAsia="zh-CN"/>
            </w:rPr>
            <w:t>5.1</w:t>
          </w:r>
          <w:r>
            <w:rPr>
              <w:rFonts w:hint="eastAsia" w:ascii="黑体" w:hAnsi="黑体" w:eastAsia="黑体" w:cs="黑体"/>
              <w:bCs w:val="0"/>
              <w:szCs w:val="21"/>
            </w:rPr>
            <w:t xml:space="preserve">  </w:t>
          </w:r>
          <w:r>
            <w:rPr>
              <w:rFonts w:hint="default" w:ascii="黑体" w:hAnsi="黑体" w:eastAsia="黑体" w:cs="黑体"/>
              <w:bCs w:val="0"/>
              <w:szCs w:val="21"/>
            </w:rPr>
            <w:t>制定现场应急处置方案时要考虑的重点</w:t>
          </w:r>
          <w:r>
            <w:tab/>
          </w:r>
          <w:r>
            <w:fldChar w:fldCharType="begin"/>
          </w:r>
          <w:r>
            <w:instrText xml:space="preserve"> PAGEREF _Toc5345 \h </w:instrText>
          </w:r>
          <w:r>
            <w:fldChar w:fldCharType="separate"/>
          </w:r>
          <w:r>
            <w:t>2</w:t>
          </w:r>
          <w:r>
            <w:fldChar w:fldCharType="end"/>
          </w:r>
          <w:r>
            <w:rPr>
              <w:bCs/>
              <w:lang w:val="zh-CN"/>
            </w:rPr>
            <w:fldChar w:fldCharType="end"/>
          </w:r>
        </w:p>
        <w:p w14:paraId="7F569455">
          <w:pPr>
            <w:pStyle w:val="12"/>
            <w:tabs>
              <w:tab w:val="right" w:leader="dot" w:pos="8448"/>
            </w:tabs>
          </w:pPr>
          <w:r>
            <w:rPr>
              <w:bCs/>
              <w:lang w:val="zh-CN"/>
            </w:rPr>
            <w:fldChar w:fldCharType="begin"/>
          </w:r>
          <w:r>
            <w:rPr>
              <w:bCs/>
              <w:lang w:val="zh-CN"/>
            </w:rPr>
            <w:instrText xml:space="preserve"> HYPERLINK \l _Toc17663 </w:instrText>
          </w:r>
          <w:r>
            <w:rPr>
              <w:bCs/>
              <w:lang w:val="zh-CN"/>
            </w:rPr>
            <w:fldChar w:fldCharType="separate"/>
          </w:r>
          <w:r>
            <w:rPr>
              <w:rFonts w:hint="default" w:ascii="黑体" w:hAnsi="黑体" w:eastAsia="黑体" w:cs="黑体"/>
              <w:bCs w:val="0"/>
              <w:szCs w:val="21"/>
              <w:lang w:val="en-US" w:eastAsia="zh-CN"/>
            </w:rPr>
            <w:t>5.</w:t>
          </w:r>
          <w:r>
            <w:rPr>
              <w:rFonts w:hint="eastAsia" w:ascii="黑体" w:hAnsi="黑体" w:eastAsia="黑体" w:cs="黑体"/>
              <w:bCs w:val="0"/>
              <w:szCs w:val="21"/>
              <w:lang w:val="en-US" w:eastAsia="zh-CN"/>
            </w:rPr>
            <w:t>2</w:t>
          </w:r>
          <w:r>
            <w:rPr>
              <w:rFonts w:hint="default" w:ascii="黑体" w:hAnsi="黑体" w:eastAsia="黑体" w:cs="黑体"/>
              <w:bCs w:val="0"/>
              <w:szCs w:val="21"/>
            </w:rPr>
            <w:t xml:space="preserve">  重大危险源事故一般处置措施</w:t>
          </w:r>
          <w:r>
            <w:tab/>
          </w:r>
          <w:r>
            <w:fldChar w:fldCharType="begin"/>
          </w:r>
          <w:r>
            <w:instrText xml:space="preserve"> PAGEREF _Toc17663 \h </w:instrText>
          </w:r>
          <w:r>
            <w:fldChar w:fldCharType="separate"/>
          </w:r>
          <w:r>
            <w:t>3</w:t>
          </w:r>
          <w:r>
            <w:fldChar w:fldCharType="end"/>
          </w:r>
          <w:r>
            <w:rPr>
              <w:bCs/>
              <w:lang w:val="zh-CN"/>
            </w:rPr>
            <w:fldChar w:fldCharType="end"/>
          </w:r>
        </w:p>
        <w:p w14:paraId="296D68F0">
          <w:pPr>
            <w:pStyle w:val="12"/>
            <w:tabs>
              <w:tab w:val="right" w:leader="dot" w:pos="8448"/>
            </w:tabs>
          </w:pPr>
          <w:r>
            <w:rPr>
              <w:bCs/>
              <w:lang w:val="zh-CN"/>
            </w:rPr>
            <w:fldChar w:fldCharType="begin"/>
          </w:r>
          <w:r>
            <w:rPr>
              <w:bCs/>
              <w:lang w:val="zh-CN"/>
            </w:rPr>
            <w:instrText xml:space="preserve"> HYPERLINK \l _Toc17678 </w:instrText>
          </w:r>
          <w:r>
            <w:rPr>
              <w:bCs/>
              <w:lang w:val="zh-CN"/>
            </w:rPr>
            <w:fldChar w:fldCharType="separate"/>
          </w:r>
          <w:r>
            <w:rPr>
              <w:rFonts w:hint="default" w:ascii="黑体" w:hAnsi="黑体" w:eastAsia="黑体" w:cs="黑体"/>
              <w:bCs w:val="0"/>
              <w:szCs w:val="21"/>
              <w:lang w:val="en-US" w:eastAsia="zh-CN"/>
            </w:rPr>
            <w:t>5.</w:t>
          </w:r>
          <w:r>
            <w:rPr>
              <w:rFonts w:hint="eastAsia" w:ascii="黑体" w:hAnsi="黑体" w:eastAsia="黑体" w:cs="黑体"/>
              <w:bCs w:val="0"/>
              <w:szCs w:val="21"/>
              <w:lang w:val="en-US" w:eastAsia="zh-CN"/>
            </w:rPr>
            <w:t>3</w:t>
          </w:r>
          <w:r>
            <w:rPr>
              <w:rFonts w:hint="default" w:ascii="黑体" w:hAnsi="黑体" w:eastAsia="黑体" w:cs="黑体"/>
              <w:bCs w:val="0"/>
              <w:szCs w:val="21"/>
            </w:rPr>
            <w:t xml:space="preserve">  典型设施和场景应急处置时注意事项</w:t>
          </w:r>
          <w:r>
            <w:tab/>
          </w:r>
          <w:r>
            <w:fldChar w:fldCharType="begin"/>
          </w:r>
          <w:r>
            <w:instrText xml:space="preserve"> PAGEREF _Toc17678 \h </w:instrText>
          </w:r>
          <w:r>
            <w:fldChar w:fldCharType="separate"/>
          </w:r>
          <w:r>
            <w:t>5</w:t>
          </w:r>
          <w:r>
            <w:fldChar w:fldCharType="end"/>
          </w:r>
          <w:r>
            <w:rPr>
              <w:bCs/>
              <w:lang w:val="zh-CN"/>
            </w:rPr>
            <w:fldChar w:fldCharType="end"/>
          </w:r>
        </w:p>
        <w:p w14:paraId="33D78638">
          <w:pPr>
            <w:pStyle w:val="11"/>
            <w:tabs>
              <w:tab w:val="right" w:leader="dot" w:pos="8448"/>
            </w:tabs>
          </w:pPr>
          <w:r>
            <w:rPr>
              <w:bCs/>
              <w:lang w:val="zh-CN"/>
            </w:rPr>
            <w:fldChar w:fldCharType="begin"/>
          </w:r>
          <w:r>
            <w:rPr>
              <w:bCs/>
              <w:lang w:val="zh-CN"/>
            </w:rPr>
            <w:instrText xml:space="preserve"> HYPERLINK \l _Toc15899 </w:instrText>
          </w:r>
          <w:r>
            <w:rPr>
              <w:bCs/>
              <w:lang w:val="zh-CN"/>
            </w:rPr>
            <w:fldChar w:fldCharType="separate"/>
          </w:r>
          <w:r>
            <w:rPr>
              <w:rFonts w:hint="eastAsia" w:ascii="黑体" w:hAnsi="宋体" w:eastAsia="黑体"/>
              <w:szCs w:val="21"/>
              <w:lang w:val="en-US" w:eastAsia="zh-CN"/>
            </w:rPr>
            <w:t>6  后期处置</w:t>
          </w:r>
          <w:r>
            <w:tab/>
          </w:r>
          <w:r>
            <w:fldChar w:fldCharType="begin"/>
          </w:r>
          <w:r>
            <w:instrText xml:space="preserve"> PAGEREF _Toc15899 \h </w:instrText>
          </w:r>
          <w:r>
            <w:fldChar w:fldCharType="separate"/>
          </w:r>
          <w:r>
            <w:t>7</w:t>
          </w:r>
          <w:r>
            <w:fldChar w:fldCharType="end"/>
          </w:r>
          <w:r>
            <w:rPr>
              <w:bCs/>
              <w:lang w:val="zh-CN"/>
            </w:rPr>
            <w:fldChar w:fldCharType="end"/>
          </w:r>
        </w:p>
        <w:p w14:paraId="29D7B02C">
          <w:pPr>
            <w:pStyle w:val="11"/>
            <w:tabs>
              <w:tab w:val="right" w:leader="dot" w:pos="8448"/>
            </w:tabs>
          </w:pPr>
          <w:r>
            <w:rPr>
              <w:bCs/>
              <w:lang w:val="zh-CN"/>
            </w:rPr>
            <w:fldChar w:fldCharType="begin"/>
          </w:r>
          <w:r>
            <w:rPr>
              <w:bCs/>
              <w:lang w:val="zh-CN"/>
            </w:rPr>
            <w:instrText xml:space="preserve"> HYPERLINK \l _Toc10233 </w:instrText>
          </w:r>
          <w:r>
            <w:rPr>
              <w:bCs/>
              <w:lang w:val="zh-CN"/>
            </w:rPr>
            <w:fldChar w:fldCharType="separate"/>
          </w:r>
          <w:r>
            <w:rPr>
              <w:rFonts w:hint="eastAsia" w:ascii="黑体" w:hAnsi="宋体" w:eastAsia="黑体"/>
              <w:szCs w:val="21"/>
              <w:lang w:val="en-US" w:eastAsia="zh-CN"/>
            </w:rPr>
            <w:t>7</w:t>
          </w:r>
          <w:r>
            <w:rPr>
              <w:rFonts w:ascii="黑体" w:hAnsi="宋体" w:eastAsia="黑体"/>
              <w:szCs w:val="21"/>
            </w:rPr>
            <w:t xml:space="preserve"> </w:t>
          </w:r>
          <w:r>
            <w:rPr>
              <w:rFonts w:hint="eastAsia" w:ascii="黑体" w:hAnsi="宋体" w:eastAsia="黑体"/>
              <w:szCs w:val="21"/>
            </w:rPr>
            <w:t xml:space="preserve"> 附</w:t>
          </w:r>
          <w:r>
            <w:rPr>
              <w:rFonts w:hint="eastAsia" w:ascii="黑体" w:hAnsi="宋体" w:eastAsia="黑体"/>
              <w:szCs w:val="21"/>
              <w:lang w:val="en-US" w:eastAsia="zh-CN"/>
            </w:rPr>
            <w:t>则</w:t>
          </w:r>
          <w:r>
            <w:tab/>
          </w:r>
          <w:r>
            <w:fldChar w:fldCharType="begin"/>
          </w:r>
          <w:r>
            <w:instrText xml:space="preserve"> PAGEREF _Toc10233 \h </w:instrText>
          </w:r>
          <w:r>
            <w:fldChar w:fldCharType="separate"/>
          </w:r>
          <w:r>
            <w:t>7</w:t>
          </w:r>
          <w:r>
            <w:fldChar w:fldCharType="end"/>
          </w:r>
          <w:r>
            <w:rPr>
              <w:bCs/>
              <w:lang w:val="zh-CN"/>
            </w:rPr>
            <w:fldChar w:fldCharType="end"/>
          </w:r>
        </w:p>
        <w:p w14:paraId="5046E66F">
          <w:pPr>
            <w:pStyle w:val="11"/>
            <w:tabs>
              <w:tab w:val="right" w:leader="dot" w:pos="8448"/>
            </w:tabs>
          </w:pPr>
          <w:r>
            <w:rPr>
              <w:bCs/>
              <w:lang w:val="zh-CN"/>
            </w:rPr>
            <w:fldChar w:fldCharType="begin"/>
          </w:r>
          <w:r>
            <w:rPr>
              <w:bCs/>
              <w:lang w:val="zh-CN"/>
            </w:rPr>
            <w:instrText xml:space="preserve"> HYPERLINK \l _Toc26940 </w:instrText>
          </w:r>
          <w:r>
            <w:rPr>
              <w:bCs/>
              <w:lang w:val="zh-CN"/>
            </w:rPr>
            <w:fldChar w:fldCharType="separate"/>
          </w:r>
          <w:r>
            <w:rPr>
              <w:rFonts w:hint="eastAsia" w:eastAsia="黑体"/>
              <w:bCs/>
              <w:szCs w:val="21"/>
              <w:lang w:val="en-US" w:eastAsia="zh-CN"/>
            </w:rPr>
            <w:t>8</w:t>
          </w:r>
          <w:r>
            <w:rPr>
              <w:rFonts w:ascii="黑体" w:hAnsi="宋体" w:eastAsia="黑体"/>
              <w:szCs w:val="21"/>
            </w:rPr>
            <w:t xml:space="preserve"> </w:t>
          </w:r>
          <w:r>
            <w:rPr>
              <w:rFonts w:hint="eastAsia" w:ascii="黑体" w:hAnsi="宋体" w:eastAsia="黑体"/>
              <w:szCs w:val="21"/>
            </w:rPr>
            <w:t xml:space="preserve"> 附件</w:t>
          </w:r>
          <w:r>
            <w:tab/>
          </w:r>
          <w:r>
            <w:fldChar w:fldCharType="begin"/>
          </w:r>
          <w:r>
            <w:instrText xml:space="preserve"> PAGEREF _Toc26940 \h </w:instrText>
          </w:r>
          <w:r>
            <w:fldChar w:fldCharType="separate"/>
          </w:r>
          <w:r>
            <w:t>7</w:t>
          </w:r>
          <w:r>
            <w:fldChar w:fldCharType="end"/>
          </w:r>
          <w:r>
            <w:rPr>
              <w:bCs/>
              <w:lang w:val="zh-CN"/>
            </w:rPr>
            <w:fldChar w:fldCharType="end"/>
          </w:r>
        </w:p>
        <w:p w14:paraId="3A099D6D">
          <w:r>
            <w:rPr>
              <w:b/>
              <w:bCs/>
              <w:lang w:val="zh-CN"/>
            </w:rPr>
            <w:fldChar w:fldCharType="end"/>
          </w:r>
        </w:p>
      </w:sdtContent>
    </w:sdt>
    <w:p w14:paraId="0E1B5AF2">
      <w:pPr>
        <w:pStyle w:val="3"/>
        <w:rPr>
          <w:rFonts w:hint="eastAsia" w:ascii="黑体" w:hAnsi="宋体" w:eastAsia="黑体"/>
          <w:bCs w:val="0"/>
          <w:sz w:val="21"/>
          <w:szCs w:val="21"/>
        </w:rPr>
        <w:sectPr>
          <w:footerReference r:id="rId7" w:type="default"/>
          <w:pgSz w:w="11906" w:h="16838"/>
          <w:pgMar w:top="1440" w:right="1803" w:bottom="1440" w:left="1803" w:header="851" w:footer="992" w:gutter="0"/>
          <w:pgNumType w:start="1"/>
          <w:cols w:space="0" w:num="1"/>
          <w:rtlGutter w:val="0"/>
          <w:docGrid w:type="lines" w:linePitch="312" w:charSpace="0"/>
        </w:sectPr>
      </w:pPr>
      <w:bookmarkStart w:id="1" w:name="_Toc128491042"/>
      <w:bookmarkStart w:id="2" w:name="_Toc26427"/>
    </w:p>
    <w:p w14:paraId="26BA4B9C">
      <w:pPr>
        <w:pStyle w:val="2"/>
        <w:spacing w:line="579" w:lineRule="auto"/>
        <w:rPr>
          <w:rFonts w:hint="eastAsia" w:ascii="黑体" w:hAnsi="宋体" w:eastAsia="黑体"/>
          <w:bCs/>
          <w:sz w:val="21"/>
          <w:szCs w:val="21"/>
        </w:rPr>
      </w:pPr>
      <w:bookmarkStart w:id="3" w:name="_Toc29682"/>
      <w:bookmarkStart w:id="4" w:name="_Toc11821"/>
      <w:bookmarkStart w:id="5" w:name="_Toc9378"/>
      <w:bookmarkStart w:id="6" w:name="_Toc761"/>
      <w:r>
        <w:rPr>
          <w:rFonts w:hint="eastAsia" w:ascii="黑体" w:hAnsi="宋体" w:eastAsia="黑体"/>
          <w:bCs/>
          <w:sz w:val="21"/>
          <w:szCs w:val="21"/>
        </w:rPr>
        <w:t xml:space="preserve">1  </w:t>
      </w:r>
      <w:bookmarkEnd w:id="0"/>
      <w:bookmarkEnd w:id="1"/>
      <w:bookmarkStart w:id="7" w:name="_Toc128491043"/>
      <w:r>
        <w:rPr>
          <w:rFonts w:hint="eastAsia" w:ascii="黑体" w:hAnsi="宋体" w:eastAsia="黑体"/>
          <w:sz w:val="21"/>
          <w:szCs w:val="21"/>
        </w:rPr>
        <w:t>适用范围</w:t>
      </w:r>
      <w:bookmarkEnd w:id="2"/>
      <w:bookmarkEnd w:id="3"/>
      <w:bookmarkEnd w:id="4"/>
      <w:bookmarkEnd w:id="5"/>
      <w:bookmarkEnd w:id="6"/>
      <w:bookmarkEnd w:id="7"/>
    </w:p>
    <w:p w14:paraId="6E8E16D0">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sz w:val="21"/>
          <w:szCs w:val="21"/>
        </w:rPr>
      </w:pPr>
      <w:r>
        <w:rPr>
          <w:rFonts w:hint="eastAsia"/>
          <w:sz w:val="21"/>
          <w:szCs w:val="21"/>
        </w:rPr>
        <w:t>本预案</w:t>
      </w:r>
      <w:r>
        <w:rPr>
          <w:rFonts w:hint="eastAsia" w:ascii="宋体" w:hAnsi="宋体"/>
          <w:sz w:val="21"/>
          <w:szCs w:val="21"/>
        </w:rPr>
        <w:t>《突发事件总体应急预案》的专项应急预案</w:t>
      </w:r>
      <w:r>
        <w:rPr>
          <w:rFonts w:hint="eastAsia" w:ascii="宋体" w:hAnsi="宋体"/>
          <w:sz w:val="21"/>
          <w:szCs w:val="21"/>
          <w:lang w:eastAsia="zh-CN"/>
        </w:rPr>
        <w:t>，</w:t>
      </w:r>
      <w:r>
        <w:rPr>
          <w:rFonts w:hint="eastAsia" w:ascii="宋体" w:hAnsi="宋体"/>
          <w:sz w:val="21"/>
          <w:szCs w:val="21"/>
        </w:rPr>
        <w:t>适用于公司所属重大危险源工作场所发生的火灾爆炸、泄漏中毒事故的应急处置</w:t>
      </w:r>
      <w:r>
        <w:rPr>
          <w:rFonts w:hint="eastAsia"/>
          <w:sz w:val="21"/>
          <w:szCs w:val="21"/>
        </w:rPr>
        <w:t>。</w:t>
      </w:r>
    </w:p>
    <w:p w14:paraId="157CB097">
      <w:pPr>
        <w:pStyle w:val="2"/>
        <w:spacing w:line="579" w:lineRule="auto"/>
        <w:rPr>
          <w:rFonts w:hint="eastAsia" w:ascii="黑体" w:hAnsi="宋体" w:eastAsia="黑体"/>
          <w:sz w:val="21"/>
          <w:szCs w:val="21"/>
          <w:lang w:val="en-US" w:eastAsia="zh-CN"/>
        </w:rPr>
      </w:pPr>
      <w:bookmarkStart w:id="8" w:name="_Toc128491044"/>
      <w:bookmarkStart w:id="9" w:name="_Toc17097"/>
      <w:bookmarkStart w:id="10" w:name="_Toc8132"/>
      <w:bookmarkStart w:id="11" w:name="_Toc26903"/>
      <w:bookmarkStart w:id="12" w:name="_Toc7318"/>
      <w:bookmarkStart w:id="13" w:name="_Toc339"/>
      <w:r>
        <w:rPr>
          <w:rFonts w:hint="eastAsia" w:ascii="黑体" w:hAnsi="宋体" w:eastAsia="黑体"/>
          <w:sz w:val="21"/>
          <w:szCs w:val="21"/>
          <w:lang w:val="en-US" w:eastAsia="zh-CN"/>
        </w:rPr>
        <w:t>2</w:t>
      </w:r>
      <w:r>
        <w:rPr>
          <w:rFonts w:hint="eastAsia" w:ascii="黑体" w:hAnsi="宋体" w:eastAsia="黑体"/>
          <w:sz w:val="21"/>
          <w:szCs w:val="21"/>
        </w:rPr>
        <w:t xml:space="preserve">  </w:t>
      </w:r>
      <w:bookmarkEnd w:id="8"/>
      <w:r>
        <w:rPr>
          <w:rFonts w:hint="eastAsia" w:ascii="黑体" w:hAnsi="宋体" w:eastAsia="黑体"/>
          <w:sz w:val="21"/>
          <w:szCs w:val="21"/>
          <w:lang w:val="en-US" w:eastAsia="zh-CN"/>
        </w:rPr>
        <w:t>事故风险分析</w:t>
      </w:r>
      <w:bookmarkEnd w:id="9"/>
      <w:bookmarkEnd w:id="10"/>
      <w:bookmarkEnd w:id="11"/>
      <w:bookmarkEnd w:id="12"/>
      <w:bookmarkEnd w:id="13"/>
    </w:p>
    <w:p w14:paraId="37BB81E6">
      <w:pPr>
        <w:keepNext w:val="0"/>
        <w:keepLines w:val="0"/>
        <w:pageBreakBefore w:val="0"/>
        <w:widowControl/>
        <w:kinsoku/>
        <w:wordWrap/>
        <w:overflowPunct/>
        <w:topLinePunct w:val="0"/>
        <w:autoSpaceDE/>
        <w:autoSpaceDN/>
        <w:bidi w:val="0"/>
        <w:adjustRightInd w:val="0"/>
        <w:snapToGrid w:val="0"/>
        <w:spacing w:after="0" w:line="360" w:lineRule="exact"/>
        <w:ind w:firstLine="420" w:firstLineChars="200"/>
        <w:textAlignment w:val="auto"/>
        <w:rPr>
          <w:rFonts w:hint="eastAsia" w:ascii="宋体" w:hAnsi="宋体"/>
          <w:sz w:val="21"/>
          <w:szCs w:val="21"/>
          <w:lang w:val="en-US" w:eastAsia="zh-CN"/>
        </w:rPr>
      </w:pPr>
      <w:r>
        <w:rPr>
          <w:rFonts w:hint="eastAsia" w:ascii="宋体" w:hAnsi="宋体"/>
          <w:sz w:val="21"/>
          <w:szCs w:val="21"/>
          <w:lang w:val="en-US" w:eastAsia="zh-CN"/>
        </w:rPr>
        <w:t>青岛石化共有24个重大危险源，生产经营过程中存在泄漏、火灾爆炸等风险，公司南临楼山河入海口，西靠环湾路，东临济青高铁线等敏感环境，重大危险源发生火灾爆炸、泄漏等突发事件后，可能造成重大人员伤亡、重大环境污染、重大财产损失、严重的社会影响。</w:t>
      </w:r>
    </w:p>
    <w:p w14:paraId="0C267142">
      <w:pPr>
        <w:pStyle w:val="2"/>
        <w:rPr>
          <w:rFonts w:hint="eastAsia" w:ascii="黑体" w:hAnsi="宋体" w:eastAsia="黑体"/>
          <w:sz w:val="21"/>
          <w:szCs w:val="21"/>
          <w:lang w:val="en-US" w:eastAsia="zh-CN"/>
        </w:rPr>
      </w:pPr>
      <w:bookmarkStart w:id="14" w:name="_Toc16844"/>
      <w:bookmarkStart w:id="15" w:name="_Toc13376"/>
      <w:bookmarkStart w:id="16" w:name="_Toc29508"/>
      <w:bookmarkStart w:id="17" w:name="_Toc5730"/>
      <w:bookmarkStart w:id="18" w:name="_Toc696"/>
      <w:bookmarkStart w:id="19" w:name="_Toc128491045"/>
      <w:bookmarkStart w:id="20" w:name="_Toc47970991"/>
      <w:r>
        <w:rPr>
          <w:rFonts w:hint="eastAsia" w:ascii="黑体" w:hAnsi="宋体" w:eastAsia="黑体"/>
          <w:sz w:val="21"/>
          <w:szCs w:val="21"/>
          <w:lang w:val="en-US" w:eastAsia="zh-CN"/>
        </w:rPr>
        <w:t>3</w:t>
      </w:r>
      <w:r>
        <w:rPr>
          <w:rFonts w:ascii="黑体" w:hAnsi="宋体" w:eastAsia="黑体"/>
          <w:sz w:val="21"/>
          <w:szCs w:val="21"/>
        </w:rPr>
        <w:t xml:space="preserve">  </w:t>
      </w:r>
      <w:r>
        <w:rPr>
          <w:rFonts w:hint="eastAsia" w:ascii="黑体" w:hAnsi="宋体" w:eastAsia="黑体"/>
          <w:bCs w:val="0"/>
          <w:kern w:val="2"/>
          <w:sz w:val="21"/>
          <w:szCs w:val="21"/>
        </w:rPr>
        <w:t>应急组织机构及职责</w:t>
      </w:r>
      <w:bookmarkEnd w:id="14"/>
      <w:bookmarkEnd w:id="15"/>
      <w:bookmarkEnd w:id="16"/>
      <w:bookmarkEnd w:id="17"/>
      <w:bookmarkEnd w:id="18"/>
    </w:p>
    <w:p w14:paraId="08866FB5">
      <w:pPr>
        <w:adjustRightInd w:val="0"/>
        <w:snapToGrid w:val="0"/>
        <w:spacing w:after="0" w:line="360" w:lineRule="exact"/>
        <w:ind w:firstLine="420" w:firstLineChars="200"/>
        <w:rPr>
          <w:rFonts w:ascii="宋体" w:hAnsi="宋体"/>
          <w:sz w:val="21"/>
          <w:szCs w:val="21"/>
        </w:rPr>
      </w:pPr>
      <w:r>
        <w:rPr>
          <w:rFonts w:hint="eastAsia" w:ascii="宋体" w:hAnsi="宋体"/>
          <w:sz w:val="21"/>
          <w:szCs w:val="21"/>
        </w:rPr>
        <w:t>《</w:t>
      </w:r>
      <w:r>
        <w:rPr>
          <w:rFonts w:hint="eastAsia" w:ascii="宋体" w:hAnsi="宋体" w:cs="Arial"/>
          <w:sz w:val="21"/>
          <w:szCs w:val="21"/>
        </w:rPr>
        <w:t>青岛石化</w:t>
      </w:r>
      <w:r>
        <w:rPr>
          <w:rFonts w:hint="eastAsia" w:ascii="宋体" w:hAnsi="宋体" w:cs="Arial"/>
          <w:sz w:val="21"/>
          <w:szCs w:val="21"/>
          <w:lang w:val="en-US" w:eastAsia="zh-CN"/>
        </w:rPr>
        <w:t>突发事件总体应急预案</w:t>
      </w:r>
      <w:r>
        <w:rPr>
          <w:rFonts w:hint="eastAsia" w:ascii="宋体" w:hAnsi="宋体"/>
          <w:sz w:val="21"/>
          <w:szCs w:val="21"/>
        </w:rPr>
        <w:t>》已明确规定了公司应急指挥机构的组成及职责，详见《</w:t>
      </w:r>
      <w:r>
        <w:rPr>
          <w:rFonts w:hint="eastAsia" w:ascii="宋体" w:hAnsi="宋体" w:cs="Arial"/>
          <w:sz w:val="21"/>
          <w:szCs w:val="21"/>
        </w:rPr>
        <w:t>青岛石化</w:t>
      </w:r>
      <w:r>
        <w:rPr>
          <w:rFonts w:hint="eastAsia" w:ascii="宋体" w:hAnsi="宋体" w:cs="Arial"/>
          <w:sz w:val="21"/>
          <w:szCs w:val="21"/>
          <w:lang w:val="en-US" w:eastAsia="zh-CN"/>
        </w:rPr>
        <w:t>突发事件总体应</w:t>
      </w:r>
      <w:r>
        <w:rPr>
          <w:rFonts w:hint="eastAsia" w:ascii="宋体" w:hAnsi="宋体" w:cs="Arial"/>
          <w:sz w:val="21"/>
          <w:szCs w:val="21"/>
        </w:rPr>
        <w:t>急预案</w:t>
      </w:r>
      <w:r>
        <w:rPr>
          <w:rFonts w:hint="eastAsia" w:ascii="宋体" w:hAnsi="宋体"/>
          <w:sz w:val="21"/>
          <w:szCs w:val="21"/>
        </w:rPr>
        <w:t>》</w:t>
      </w:r>
      <w:r>
        <w:rPr>
          <w:rFonts w:hint="eastAsia" w:ascii="宋体" w:hAnsi="宋体"/>
          <w:sz w:val="21"/>
          <w:szCs w:val="21"/>
          <w:lang w:val="en-US" w:eastAsia="zh-CN"/>
        </w:rPr>
        <w:t>附件</w:t>
      </w:r>
      <w:r>
        <w:rPr>
          <w:rFonts w:hint="eastAsia" w:ascii="宋体" w:hAnsi="宋体"/>
          <w:sz w:val="21"/>
          <w:szCs w:val="21"/>
        </w:rPr>
        <w:t>2</w:t>
      </w:r>
      <w:r>
        <w:rPr>
          <w:rFonts w:hint="eastAsia" w:ascii="宋体" w:hAnsi="宋体"/>
          <w:sz w:val="21"/>
          <w:szCs w:val="21"/>
          <w:lang w:val="en-US" w:eastAsia="zh-CN"/>
        </w:rPr>
        <w:t xml:space="preserve"> </w:t>
      </w:r>
      <w:r>
        <w:rPr>
          <w:rFonts w:hint="eastAsia" w:ascii="宋体" w:hAnsi="宋体"/>
          <w:sz w:val="21"/>
          <w:szCs w:val="21"/>
        </w:rPr>
        <w:t>应急组织机构及职责。</w:t>
      </w:r>
    </w:p>
    <w:bookmarkEnd w:id="19"/>
    <w:bookmarkEnd w:id="20"/>
    <w:p w14:paraId="330A08E3">
      <w:pPr>
        <w:pStyle w:val="2"/>
        <w:rPr>
          <w:rFonts w:hint="eastAsia" w:ascii="黑体" w:hAnsi="宋体" w:eastAsia="黑体"/>
          <w:sz w:val="21"/>
          <w:szCs w:val="21"/>
          <w:lang w:val="en-US" w:eastAsia="zh-CN"/>
        </w:rPr>
      </w:pPr>
      <w:bookmarkStart w:id="21" w:name="_Toc13465"/>
      <w:bookmarkStart w:id="22" w:name="_Toc20975"/>
      <w:bookmarkStart w:id="23" w:name="_Toc5473"/>
      <w:bookmarkStart w:id="24" w:name="_Toc28787"/>
      <w:bookmarkStart w:id="25" w:name="_Toc20915"/>
      <w:r>
        <w:rPr>
          <w:rFonts w:hint="eastAsia" w:ascii="黑体" w:hAnsi="宋体" w:eastAsia="黑体"/>
          <w:sz w:val="21"/>
          <w:szCs w:val="21"/>
          <w:lang w:val="en-US" w:eastAsia="zh-CN"/>
        </w:rPr>
        <w:t>4  应急响应</w:t>
      </w:r>
      <w:bookmarkEnd w:id="21"/>
      <w:bookmarkEnd w:id="22"/>
      <w:bookmarkEnd w:id="23"/>
      <w:bookmarkEnd w:id="24"/>
      <w:bookmarkEnd w:id="25"/>
    </w:p>
    <w:p w14:paraId="36EA6268">
      <w:pPr>
        <w:pStyle w:val="3"/>
        <w:keepNext/>
        <w:keepLines/>
        <w:pageBreakBefore w:val="0"/>
        <w:widowControl/>
        <w:kinsoku/>
        <w:wordWrap/>
        <w:overflowPunct/>
        <w:topLinePunct w:val="0"/>
        <w:autoSpaceDE/>
        <w:autoSpaceDN/>
        <w:bidi w:val="0"/>
        <w:adjustRightInd/>
        <w:snapToGrid/>
        <w:spacing w:line="416" w:lineRule="auto"/>
        <w:textAlignment w:val="auto"/>
        <w:rPr>
          <w:rFonts w:hint="eastAsia" w:ascii="黑体" w:hAnsi="宋体" w:eastAsia="黑体"/>
          <w:bCs w:val="0"/>
          <w:sz w:val="21"/>
          <w:szCs w:val="21"/>
          <w:lang w:eastAsia="zh-CN"/>
        </w:rPr>
      </w:pPr>
      <w:bookmarkStart w:id="26" w:name="_Toc24366"/>
      <w:bookmarkStart w:id="27" w:name="_Toc28736"/>
      <w:bookmarkStart w:id="28" w:name="_Toc128491059"/>
      <w:bookmarkStart w:id="29" w:name="_Toc2073"/>
      <w:bookmarkStart w:id="30" w:name="_Toc16499"/>
      <w:bookmarkStart w:id="31" w:name="_Toc25948"/>
      <w:bookmarkStart w:id="32" w:name="_Toc17096"/>
      <w:bookmarkStart w:id="33" w:name="_Toc27736"/>
      <w:bookmarkStart w:id="34" w:name="_Toc30951"/>
      <w:r>
        <w:rPr>
          <w:rFonts w:hint="eastAsia" w:ascii="黑体" w:hAnsi="宋体" w:eastAsia="黑体"/>
          <w:sz w:val="21"/>
          <w:szCs w:val="21"/>
          <w:lang w:val="en-US" w:eastAsia="zh-CN"/>
        </w:rPr>
        <w:t>4.1</w:t>
      </w:r>
      <w:r>
        <w:rPr>
          <w:rFonts w:ascii="黑体" w:hAnsi="宋体" w:eastAsia="黑体"/>
          <w:sz w:val="21"/>
          <w:szCs w:val="21"/>
        </w:rPr>
        <w:t xml:space="preserve">  </w:t>
      </w:r>
      <w:bookmarkEnd w:id="26"/>
      <w:bookmarkEnd w:id="27"/>
      <w:bookmarkEnd w:id="28"/>
      <w:bookmarkEnd w:id="29"/>
      <w:r>
        <w:rPr>
          <w:rFonts w:hint="eastAsia" w:ascii="黑体" w:hAnsi="宋体" w:eastAsia="黑体"/>
          <w:sz w:val="21"/>
          <w:szCs w:val="21"/>
          <w:lang w:val="en-US" w:eastAsia="zh-CN"/>
        </w:rPr>
        <w:t>启动</w:t>
      </w:r>
      <w:bookmarkEnd w:id="30"/>
      <w:bookmarkEnd w:id="31"/>
      <w:bookmarkEnd w:id="32"/>
      <w:bookmarkEnd w:id="33"/>
      <w:bookmarkEnd w:id="34"/>
    </w:p>
    <w:p w14:paraId="06237190">
      <w:pPr>
        <w:spacing w:after="0" w:line="360" w:lineRule="exact"/>
        <w:ind w:firstLine="420" w:firstLineChars="200"/>
        <w:rPr>
          <w:rFonts w:hint="eastAsia" w:ascii="Calibri" w:hAnsi="Calibri" w:eastAsia="宋体"/>
          <w:bCs w:val="0"/>
          <w:sz w:val="21"/>
          <w:szCs w:val="21"/>
          <w:lang w:val="en-US" w:eastAsia="zh-CN"/>
        </w:rPr>
      </w:pPr>
      <w:r>
        <w:rPr>
          <w:rFonts w:hint="eastAsia" w:ascii="宋体" w:hAnsi="宋体" w:eastAsia="宋体" w:cs="宋体"/>
          <w:bCs w:val="0"/>
          <w:sz w:val="21"/>
          <w:szCs w:val="21"/>
          <w:lang w:val="en-US" w:eastAsia="zh-CN"/>
        </w:rPr>
        <w:t>根据中国石化应急指挥中心、地方政府指令或当符合《青岛石化突发事件总体应急预案》第3.3.1条启动条件时，公司应急指挥中心应立即启动本专项预案。</w:t>
      </w:r>
    </w:p>
    <w:p w14:paraId="62C33B57">
      <w:pPr>
        <w:pStyle w:val="3"/>
        <w:spacing w:after="0" w:line="360" w:lineRule="exact"/>
        <w:ind w:firstLineChars="0"/>
        <w:rPr>
          <w:rFonts w:hint="eastAsia" w:ascii="黑体" w:hAnsi="宋体" w:eastAsia="黑体"/>
          <w:sz w:val="21"/>
          <w:szCs w:val="21"/>
          <w:lang w:val="en-US" w:eastAsia="zh-CN"/>
        </w:rPr>
      </w:pPr>
      <w:bookmarkStart w:id="35" w:name="_Toc410"/>
      <w:bookmarkStart w:id="36" w:name="_Toc2695"/>
      <w:bookmarkStart w:id="37" w:name="_Toc22983"/>
      <w:bookmarkStart w:id="38" w:name="_Toc674"/>
      <w:bookmarkStart w:id="39" w:name="_Toc28046"/>
      <w:r>
        <w:rPr>
          <w:rFonts w:hint="eastAsia" w:ascii="黑体" w:hAnsi="宋体" w:eastAsia="黑体"/>
          <w:sz w:val="21"/>
          <w:szCs w:val="21"/>
          <w:lang w:val="en-US" w:eastAsia="zh-CN"/>
        </w:rPr>
        <w:t>4.2</w:t>
      </w:r>
      <w:r>
        <w:rPr>
          <w:rFonts w:hint="eastAsia" w:ascii="黑体" w:hAnsi="宋体" w:eastAsia="黑体"/>
          <w:sz w:val="21"/>
          <w:szCs w:val="21"/>
        </w:rPr>
        <w:t xml:space="preserve">  </w:t>
      </w:r>
      <w:r>
        <w:rPr>
          <w:rFonts w:hint="eastAsia" w:ascii="黑体" w:hAnsi="宋体" w:eastAsia="黑体"/>
          <w:sz w:val="21"/>
          <w:szCs w:val="21"/>
          <w:lang w:val="en-US" w:eastAsia="zh-CN"/>
        </w:rPr>
        <w:t>行动</w:t>
      </w:r>
      <w:bookmarkEnd w:id="35"/>
      <w:bookmarkEnd w:id="36"/>
      <w:bookmarkEnd w:id="37"/>
      <w:bookmarkEnd w:id="38"/>
      <w:bookmarkEnd w:id="39"/>
    </w:p>
    <w:p w14:paraId="1CE14B72">
      <w:pPr>
        <w:spacing w:after="0" w:line="360" w:lineRule="exact"/>
        <w:ind w:firstLine="0" w:firstLineChars="0"/>
        <w:rPr>
          <w:rFonts w:hint="eastAsia" w:ascii="宋体" w:hAnsi="宋体" w:eastAsia="宋体" w:cs="宋体"/>
          <w:bCs w:val="0"/>
          <w:sz w:val="21"/>
          <w:szCs w:val="21"/>
          <w:lang w:val="en-US" w:eastAsia="zh-CN"/>
        </w:rPr>
      </w:pPr>
      <w:r>
        <w:rPr>
          <w:rFonts w:hint="eastAsia" w:ascii="黑体" w:hAnsi="宋体" w:eastAsia="黑体"/>
          <w:bCs/>
          <w:sz w:val="21"/>
          <w:szCs w:val="21"/>
          <w:lang w:val="en-US" w:eastAsia="zh-CN"/>
        </w:rPr>
        <w:t>4.2.1</w:t>
      </w:r>
      <w:r>
        <w:rPr>
          <w:rFonts w:hint="eastAsia"/>
          <w:bCs w:val="0"/>
          <w:sz w:val="21"/>
          <w:szCs w:val="21"/>
          <w:lang w:val="en-US" w:eastAsia="zh-CN"/>
        </w:rPr>
        <w:t xml:space="preserve">  </w:t>
      </w:r>
      <w:r>
        <w:rPr>
          <w:rFonts w:hint="eastAsia" w:ascii="宋体" w:hAnsi="宋体" w:eastAsia="宋体" w:cs="宋体"/>
          <w:bCs w:val="0"/>
          <w:sz w:val="21"/>
          <w:szCs w:val="21"/>
          <w:lang w:val="en-US" w:eastAsia="zh-CN"/>
        </w:rPr>
        <w:t>发生</w:t>
      </w:r>
      <w:r>
        <w:rPr>
          <w:rFonts w:hint="eastAsia" w:ascii="宋体" w:hAnsi="宋体" w:cs="宋体"/>
          <w:bCs w:val="0"/>
          <w:sz w:val="21"/>
          <w:szCs w:val="21"/>
          <w:lang w:val="en-US" w:eastAsia="zh-CN"/>
        </w:rPr>
        <w:t>重大危险源</w:t>
      </w:r>
      <w:r>
        <w:rPr>
          <w:rFonts w:hint="eastAsia" w:ascii="宋体" w:hAnsi="宋体" w:eastAsia="宋体" w:cs="宋体"/>
          <w:bCs w:val="0"/>
          <w:sz w:val="21"/>
          <w:szCs w:val="21"/>
          <w:lang w:val="en-US" w:eastAsia="zh-CN"/>
        </w:rPr>
        <w:t>事故时，公司在启动应急预案的同时，迅速按照《青岛石化突发事件总体应急预案》“3.1.1 信息接报、3.1.2 信息处置与研判”中规定的程序、时限、内容、形式要求等向相关部门报告，报告应包含但不限于记录《火灾爆炸事故应急信息报告单》</w:t>
      </w:r>
      <w:r>
        <w:rPr>
          <w:rFonts w:hint="eastAsia" w:ascii="宋体" w:hAnsi="宋体"/>
          <w:sz w:val="21"/>
          <w:szCs w:val="21"/>
        </w:rPr>
        <w:t>《危险化学品泄漏和中毒事故应急信息接报单》</w:t>
      </w:r>
      <w:r>
        <w:rPr>
          <w:rFonts w:hint="eastAsia" w:ascii="宋体" w:hAnsi="宋体" w:eastAsia="宋体" w:cs="宋体"/>
          <w:bCs w:val="0"/>
          <w:sz w:val="21"/>
          <w:szCs w:val="21"/>
          <w:lang w:val="en-US" w:eastAsia="zh-CN"/>
        </w:rPr>
        <w:t>中的内容。</w:t>
      </w:r>
    </w:p>
    <w:p w14:paraId="16DEB285">
      <w:pPr>
        <w:spacing w:after="0" w:line="360" w:lineRule="exact"/>
        <w:ind w:firstLine="0" w:firstLineChars="0"/>
        <w:rPr>
          <w:rFonts w:hint="eastAsia" w:ascii="Calibri" w:hAnsi="Calibri" w:eastAsia="宋体"/>
          <w:bCs w:val="0"/>
          <w:sz w:val="21"/>
          <w:szCs w:val="21"/>
          <w:lang w:val="en-US" w:eastAsia="zh-CN"/>
        </w:rPr>
      </w:pPr>
      <w:r>
        <w:rPr>
          <w:rFonts w:hint="eastAsia" w:ascii="黑体" w:hAnsi="黑体" w:eastAsia="黑体" w:cs="黑体"/>
          <w:bCs w:val="0"/>
          <w:sz w:val="21"/>
          <w:szCs w:val="21"/>
          <w:lang w:val="en-US" w:eastAsia="zh-CN"/>
        </w:rPr>
        <w:t>4.2.2</w:t>
      </w:r>
      <w:r>
        <w:rPr>
          <w:rFonts w:hint="eastAsia" w:ascii="Calibri" w:hAnsi="Calibri" w:eastAsia="宋体"/>
          <w:bCs w:val="0"/>
          <w:sz w:val="21"/>
          <w:szCs w:val="21"/>
          <w:lang w:val="en-US" w:eastAsia="zh-CN"/>
        </w:rPr>
        <w:t xml:space="preserve">  应急预案启动后，公司迅速按照《</w:t>
      </w:r>
      <w:r>
        <w:rPr>
          <w:rFonts w:hint="eastAsia"/>
          <w:bCs w:val="0"/>
          <w:sz w:val="21"/>
          <w:szCs w:val="21"/>
          <w:lang w:val="en-US" w:eastAsia="zh-CN"/>
        </w:rPr>
        <w:t>青岛石化突发</w:t>
      </w:r>
      <w:r>
        <w:rPr>
          <w:rFonts w:hint="eastAsia" w:ascii="宋体" w:hAnsi="宋体" w:eastAsia="宋体" w:cs="宋体"/>
          <w:bCs w:val="0"/>
          <w:sz w:val="21"/>
          <w:szCs w:val="21"/>
          <w:lang w:val="en-US" w:eastAsia="zh-CN"/>
        </w:rPr>
        <w:t>事件总体应急预案》“3.4 应急处置”中规定的程序组织应急会议、信息上报、协调应急资源及应急专家、信息公开，落实后勤及财力保障工作；迅速成立现场指挥部，总指挥由公司</w:t>
      </w:r>
      <w:r>
        <w:rPr>
          <w:rFonts w:hint="eastAsia" w:ascii="宋体" w:hAnsi="宋体" w:cs="宋体"/>
          <w:bCs w:val="0"/>
          <w:sz w:val="21"/>
          <w:szCs w:val="21"/>
          <w:lang w:val="en-US" w:eastAsia="zh-CN"/>
        </w:rPr>
        <w:t>董事</w:t>
      </w:r>
      <w:r>
        <w:rPr>
          <w:rFonts w:hint="eastAsia" w:ascii="宋体" w:hAnsi="宋体" w:eastAsia="宋体" w:cs="宋体"/>
          <w:bCs w:val="0"/>
          <w:sz w:val="21"/>
          <w:szCs w:val="21"/>
          <w:lang w:val="en-US" w:eastAsia="zh-CN"/>
        </w:rPr>
        <w:t>（党委书记）、总经理担任</w:t>
      </w:r>
      <w:r>
        <w:rPr>
          <w:rFonts w:hint="eastAsia" w:ascii="Calibri" w:hAnsi="Calibri" w:eastAsia="宋体"/>
          <w:bCs w:val="0"/>
          <w:sz w:val="21"/>
          <w:szCs w:val="21"/>
          <w:lang w:val="en-US" w:eastAsia="zh-CN"/>
        </w:rPr>
        <w:t>或由</w:t>
      </w:r>
      <w:r>
        <w:rPr>
          <w:rFonts w:hint="eastAsia"/>
          <w:bCs w:val="0"/>
          <w:sz w:val="21"/>
          <w:szCs w:val="21"/>
          <w:lang w:val="en-US" w:eastAsia="zh-CN"/>
        </w:rPr>
        <w:t>董事</w:t>
      </w:r>
      <w:r>
        <w:rPr>
          <w:rFonts w:hint="eastAsia" w:ascii="Calibri" w:hAnsi="Calibri" w:eastAsia="宋体"/>
          <w:bCs w:val="0"/>
          <w:sz w:val="21"/>
          <w:szCs w:val="21"/>
          <w:lang w:val="en-US" w:eastAsia="zh-CN"/>
        </w:rPr>
        <w:t>（党委书记）、总经理指派，主要负责抢险救灾全过程的决策、指挥与协调。</w:t>
      </w:r>
    </w:p>
    <w:p w14:paraId="2AABBFBB">
      <w:pPr>
        <w:spacing w:after="0" w:line="360" w:lineRule="exact"/>
        <w:ind w:firstLine="0" w:firstLineChars="0"/>
        <w:rPr>
          <w:rFonts w:hint="eastAsia" w:ascii="Calibri" w:hAnsi="Calibri" w:eastAsia="宋体"/>
          <w:bCs w:val="0"/>
          <w:sz w:val="21"/>
          <w:szCs w:val="21"/>
          <w:lang w:val="en-US" w:eastAsia="zh-CN"/>
        </w:rPr>
      </w:pPr>
      <w:r>
        <w:rPr>
          <w:rFonts w:hint="eastAsia" w:ascii="黑体" w:hAnsi="黑体" w:eastAsia="黑体" w:cs="黑体"/>
          <w:bCs w:val="0"/>
          <w:sz w:val="21"/>
          <w:szCs w:val="21"/>
          <w:lang w:val="en-US" w:eastAsia="zh-CN"/>
        </w:rPr>
        <w:t>4.2.3</w:t>
      </w:r>
      <w:r>
        <w:rPr>
          <w:rFonts w:hint="eastAsia" w:ascii="Calibri" w:hAnsi="Calibri" w:eastAsia="宋体"/>
          <w:bCs w:val="0"/>
          <w:sz w:val="21"/>
          <w:szCs w:val="21"/>
          <w:lang w:val="en-US" w:eastAsia="zh-CN"/>
        </w:rPr>
        <w:t xml:space="preserve">  副总指挥由公司副总经理、党委副书记担任。主要协助总指挥进行决策、指挥和协调，重点协助指挥所分管对应的各专业组的工作。</w:t>
      </w:r>
    </w:p>
    <w:p w14:paraId="52015B8C">
      <w:pPr>
        <w:spacing w:after="0" w:line="360" w:lineRule="exact"/>
        <w:ind w:firstLine="0" w:firstLineChars="0"/>
        <w:rPr>
          <w:rFonts w:hint="eastAsia" w:ascii="宋体" w:hAnsi="宋体" w:eastAsia="宋体" w:cs="宋体"/>
          <w:bCs w:val="0"/>
          <w:sz w:val="21"/>
          <w:szCs w:val="21"/>
          <w:lang w:val="en-US" w:eastAsia="zh-CN"/>
        </w:rPr>
      </w:pPr>
      <w:r>
        <w:rPr>
          <w:rFonts w:hint="eastAsia" w:ascii="黑体" w:hAnsi="黑体" w:eastAsia="黑体" w:cs="黑体"/>
          <w:bCs w:val="0"/>
          <w:sz w:val="21"/>
          <w:szCs w:val="21"/>
          <w:lang w:val="en-US" w:eastAsia="zh-CN"/>
        </w:rPr>
        <w:t>4.2.4</w:t>
      </w:r>
      <w:r>
        <w:rPr>
          <w:rFonts w:hint="eastAsia" w:ascii="Calibri" w:hAnsi="Calibri" w:eastAsia="宋体"/>
          <w:bCs w:val="0"/>
          <w:sz w:val="21"/>
          <w:szCs w:val="21"/>
          <w:lang w:val="en-US" w:eastAsia="zh-CN"/>
        </w:rPr>
        <w:t xml:space="preserve">  生产调度组、工程抢修组、医疗救护组、污染防控组、消防救援组、警戒疏散组、现场安全组、物资采购组、通讯保障组、公共关系组、后勤保障组、事件调查组成员迅速赶赴</w:t>
      </w:r>
      <w:r>
        <w:rPr>
          <w:rFonts w:hint="eastAsia" w:ascii="宋体" w:hAnsi="宋体" w:eastAsia="宋体" w:cs="宋体"/>
          <w:bCs w:val="0"/>
          <w:sz w:val="21"/>
          <w:szCs w:val="21"/>
          <w:lang w:val="en-US" w:eastAsia="zh-CN"/>
        </w:rPr>
        <w:t>事故现场，重点做好以下工作：</w:t>
      </w:r>
    </w:p>
    <w:p w14:paraId="6B9B191D">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a）针对事故情况，通过工艺关断等措施控制危险源、保护周边设施、防止次生灾害。</w:t>
      </w:r>
    </w:p>
    <w:p w14:paraId="122E9510">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b）及时搜救遇险人员、抢救受伤人员、隔离疏散周边民众，并确保应急人员安全。</w:t>
      </w:r>
    </w:p>
    <w:p w14:paraId="4387B37C">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c）对大气、水体、土壤和地下水开展应急监测监控，为应急决策提供可靠依据。</w:t>
      </w:r>
    </w:p>
    <w:p w14:paraId="59A5B112">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d）采取拦截、导流、疏浚等措施，将泄漏物和消防废水进行储存、控制与处置，避免进入外部环境。</w:t>
      </w:r>
    </w:p>
    <w:p w14:paraId="3DEBE1C1">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e）做好应急资源的组织、调配和管理。</w:t>
      </w:r>
    </w:p>
    <w:p w14:paraId="333B883E">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f）及时做好应急信息发布准备工作，向集团公司和地方政府提供突发事件准确信息。</w:t>
      </w:r>
    </w:p>
    <w:p w14:paraId="5C6DF451">
      <w:pPr>
        <w:pStyle w:val="3"/>
        <w:spacing w:after="260"/>
        <w:ind w:firstLineChars="0"/>
        <w:rPr>
          <w:rFonts w:hint="eastAsia" w:ascii="黑体" w:hAnsi="宋体" w:eastAsia="黑体"/>
          <w:sz w:val="21"/>
          <w:szCs w:val="21"/>
          <w:lang w:val="en-US" w:eastAsia="zh-CN"/>
        </w:rPr>
      </w:pPr>
      <w:bookmarkStart w:id="40" w:name="_Toc15890"/>
      <w:bookmarkStart w:id="41" w:name="_Toc3962"/>
      <w:bookmarkStart w:id="42" w:name="_Toc11748"/>
      <w:bookmarkStart w:id="43" w:name="_Toc6590"/>
      <w:bookmarkStart w:id="44" w:name="_Toc16983"/>
      <w:r>
        <w:rPr>
          <w:rFonts w:hint="eastAsia" w:ascii="黑体" w:hAnsi="宋体" w:eastAsia="黑体"/>
          <w:sz w:val="21"/>
          <w:szCs w:val="21"/>
          <w:lang w:val="en-US" w:eastAsia="zh-CN"/>
        </w:rPr>
        <w:t>4.3</w:t>
      </w:r>
      <w:r>
        <w:rPr>
          <w:rFonts w:hint="eastAsia" w:ascii="黑体" w:hAnsi="宋体" w:eastAsia="黑体"/>
          <w:sz w:val="21"/>
          <w:szCs w:val="21"/>
        </w:rPr>
        <w:t xml:space="preserve">  </w:t>
      </w:r>
      <w:r>
        <w:rPr>
          <w:rFonts w:hint="eastAsia" w:ascii="黑体" w:hAnsi="宋体" w:eastAsia="黑体" w:cstheme="majorBidi"/>
          <w:b/>
          <w:bCs/>
          <w:spacing w:val="0"/>
          <w:sz w:val="21"/>
          <w:szCs w:val="21"/>
        </w:rPr>
        <w:t>次生、衍生突发事件应急处置</w:t>
      </w:r>
      <w:bookmarkEnd w:id="40"/>
      <w:bookmarkEnd w:id="41"/>
      <w:bookmarkEnd w:id="42"/>
      <w:bookmarkEnd w:id="43"/>
      <w:bookmarkEnd w:id="44"/>
    </w:p>
    <w:p w14:paraId="681505C6">
      <w:pPr>
        <w:spacing w:after="0" w:line="360" w:lineRule="exact"/>
        <w:ind w:firstLine="420" w:firstLineChars="200"/>
        <w:rPr>
          <w:rFonts w:hint="eastAsia" w:ascii="宋体" w:hAnsi="宋体" w:eastAsia="宋体" w:cs="宋体"/>
          <w:bCs w:val="0"/>
          <w:sz w:val="21"/>
          <w:szCs w:val="21"/>
          <w:lang w:val="en-US" w:eastAsia="zh-CN"/>
        </w:rPr>
      </w:pPr>
      <w:r>
        <w:rPr>
          <w:rFonts w:hint="eastAsia" w:ascii="宋体" w:hAnsi="宋体" w:eastAsia="宋体" w:cs="宋体"/>
          <w:bCs w:val="0"/>
          <w:sz w:val="21"/>
          <w:szCs w:val="21"/>
          <w:lang w:val="en-US" w:eastAsia="zh-CN"/>
        </w:rPr>
        <w:t>当生产安全事故的次生、衍生事件达到《突发环境事件应急预案》《网络与信息安全事件专项应急预案》等其他专项应急预案规定的应急响应启动条件时，同步启动相应的应急响应</w:t>
      </w:r>
      <w:r>
        <w:rPr>
          <w:rFonts w:hint="eastAsia" w:ascii="宋体" w:hAnsi="宋体" w:cs="宋体"/>
          <w:bCs w:val="0"/>
          <w:sz w:val="21"/>
          <w:szCs w:val="21"/>
          <w:lang w:val="en-US" w:eastAsia="zh-CN"/>
        </w:rPr>
        <w:t>。</w:t>
      </w:r>
    </w:p>
    <w:p w14:paraId="5518FA30">
      <w:pPr>
        <w:pStyle w:val="3"/>
        <w:spacing w:after="260" w:line="360" w:lineRule="exact"/>
        <w:ind w:firstLineChars="0"/>
        <w:rPr>
          <w:rFonts w:hint="eastAsia" w:ascii="黑体" w:hAnsi="宋体" w:eastAsia="黑体" w:cstheme="majorBidi"/>
          <w:b/>
          <w:bCs/>
          <w:spacing w:val="0"/>
          <w:sz w:val="21"/>
          <w:szCs w:val="21"/>
        </w:rPr>
      </w:pPr>
      <w:bookmarkStart w:id="45" w:name="_Toc16159"/>
      <w:bookmarkStart w:id="46" w:name="_Toc32482"/>
      <w:bookmarkStart w:id="47" w:name="_Toc28185"/>
      <w:bookmarkStart w:id="48" w:name="_Toc20981"/>
      <w:bookmarkStart w:id="49" w:name="_Toc7262"/>
      <w:r>
        <w:rPr>
          <w:rFonts w:hint="eastAsia" w:ascii="黑体" w:hAnsi="宋体" w:eastAsia="黑体"/>
          <w:sz w:val="21"/>
          <w:szCs w:val="21"/>
          <w:lang w:val="en-US" w:eastAsia="zh-CN"/>
        </w:rPr>
        <w:t>4.4</w:t>
      </w:r>
      <w:r>
        <w:rPr>
          <w:rFonts w:hint="eastAsia" w:ascii="黑体" w:hAnsi="宋体" w:eastAsia="黑体"/>
          <w:sz w:val="21"/>
          <w:szCs w:val="21"/>
        </w:rPr>
        <w:t xml:space="preserve">  </w:t>
      </w:r>
      <w:r>
        <w:rPr>
          <w:rFonts w:hint="eastAsia" w:ascii="黑体" w:hAnsi="宋体" w:eastAsia="黑体" w:cstheme="majorBidi"/>
          <w:b/>
          <w:bCs/>
          <w:spacing w:val="0"/>
          <w:sz w:val="21"/>
          <w:szCs w:val="21"/>
        </w:rPr>
        <w:t>应急响应终止</w:t>
      </w:r>
      <w:bookmarkEnd w:id="45"/>
      <w:bookmarkEnd w:id="46"/>
      <w:bookmarkEnd w:id="47"/>
      <w:bookmarkEnd w:id="48"/>
      <w:bookmarkEnd w:id="49"/>
    </w:p>
    <w:p w14:paraId="05C4402C">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下列条件同时满足时，终止应急响应：</w:t>
      </w:r>
    </w:p>
    <w:p w14:paraId="6B81F99C">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a）现场已得到有效处置，导致次生、衍生事件的隐患已消除。</w:t>
      </w:r>
    </w:p>
    <w:p w14:paraId="7A30BDBC">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b）受伤人员得到妥善救治。</w:t>
      </w:r>
    </w:p>
    <w:p w14:paraId="47B60FCB">
      <w:pPr>
        <w:spacing w:before="0" w:after="0" w:line="360" w:lineRule="exact"/>
        <w:ind w:left="0" w:firstLine="420" w:firstLineChars="200"/>
        <w:rPr>
          <w:rFonts w:hint="eastAsia" w:ascii="宋体" w:hAnsi="宋体" w:eastAsia="宋体" w:cs="宋体"/>
          <w:sz w:val="21"/>
          <w:szCs w:val="21"/>
        </w:rPr>
      </w:pPr>
      <w:r>
        <w:rPr>
          <w:rFonts w:hint="eastAsia" w:ascii="宋体" w:hAnsi="宋体" w:eastAsia="宋体" w:cs="宋体"/>
          <w:spacing w:val="0"/>
          <w:sz w:val="21"/>
          <w:szCs w:val="21"/>
        </w:rPr>
        <w:t>c）环境污染得到有效控制。</w:t>
      </w:r>
    </w:p>
    <w:p w14:paraId="527583E9">
      <w:pPr>
        <w:spacing w:after="0" w:line="360" w:lineRule="exact"/>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d）舆论得到有效引导，趋于平稳。</w:t>
      </w:r>
    </w:p>
    <w:p w14:paraId="6B6E2851">
      <w:pPr>
        <w:pStyle w:val="2"/>
        <w:keepNext/>
        <w:keepLines/>
        <w:pageBreakBefore w:val="0"/>
        <w:widowControl/>
        <w:kinsoku/>
        <w:wordWrap/>
        <w:overflowPunct/>
        <w:topLinePunct w:val="0"/>
        <w:autoSpaceDE/>
        <w:autoSpaceDN/>
        <w:bidi w:val="0"/>
        <w:adjustRightInd/>
        <w:snapToGrid/>
        <w:spacing w:line="579" w:lineRule="auto"/>
        <w:textAlignment w:val="auto"/>
        <w:rPr>
          <w:rFonts w:hint="eastAsia" w:ascii="黑体" w:hAnsi="宋体" w:eastAsia="黑体"/>
          <w:sz w:val="21"/>
          <w:szCs w:val="21"/>
        </w:rPr>
      </w:pPr>
      <w:bookmarkStart w:id="50" w:name="_Toc16995"/>
      <w:bookmarkStart w:id="51" w:name="_Toc24384"/>
      <w:bookmarkStart w:id="52" w:name="_Toc30507"/>
      <w:r>
        <w:rPr>
          <w:rFonts w:hint="eastAsia" w:ascii="黑体" w:hAnsi="宋体" w:eastAsia="黑体"/>
          <w:sz w:val="21"/>
          <w:szCs w:val="21"/>
          <w:lang w:val="en-US" w:eastAsia="zh-CN"/>
        </w:rPr>
        <w:t xml:space="preserve">5  </w:t>
      </w:r>
      <w:r>
        <w:rPr>
          <w:rFonts w:hint="eastAsia" w:ascii="黑体" w:hAnsi="宋体" w:eastAsia="黑体"/>
          <w:sz w:val="21"/>
          <w:szCs w:val="21"/>
        </w:rPr>
        <w:t>现场应急处置指导原则</w:t>
      </w:r>
      <w:bookmarkEnd w:id="50"/>
      <w:bookmarkEnd w:id="51"/>
      <w:bookmarkEnd w:id="52"/>
    </w:p>
    <w:p w14:paraId="0C2685F9">
      <w:pPr>
        <w:pStyle w:val="3"/>
        <w:spacing w:after="260"/>
        <w:rPr>
          <w:rFonts w:hint="default" w:ascii="黑体" w:hAnsi="黑体" w:eastAsia="黑体" w:cs="黑体"/>
          <w:b/>
          <w:bCs w:val="0"/>
          <w:sz w:val="21"/>
          <w:szCs w:val="21"/>
          <w:lang w:val="en-US" w:eastAsia="zh-CN"/>
        </w:rPr>
      </w:pPr>
      <w:bookmarkStart w:id="53" w:name="_Toc5639"/>
      <w:bookmarkStart w:id="54" w:name="_Toc5345"/>
      <w:r>
        <w:rPr>
          <w:rFonts w:hint="default" w:ascii="黑体" w:hAnsi="黑体" w:eastAsia="黑体" w:cs="黑体"/>
          <w:b/>
          <w:bCs w:val="0"/>
          <w:sz w:val="21"/>
          <w:szCs w:val="21"/>
          <w:lang w:val="en-US" w:eastAsia="zh-CN"/>
        </w:rPr>
        <w:t>5.1</w:t>
      </w:r>
      <w:r>
        <w:rPr>
          <w:rFonts w:hint="eastAsia" w:ascii="黑体" w:hAnsi="黑体" w:eastAsia="黑体" w:cs="黑体"/>
          <w:b/>
          <w:bCs w:val="0"/>
          <w:sz w:val="21"/>
          <w:szCs w:val="21"/>
        </w:rPr>
        <w:t xml:space="preserve">  </w:t>
      </w:r>
      <w:r>
        <w:rPr>
          <w:rFonts w:hint="default" w:ascii="黑体" w:hAnsi="黑体" w:eastAsia="黑体" w:cs="黑体"/>
          <w:b/>
          <w:bCs w:val="0"/>
          <w:sz w:val="21"/>
          <w:szCs w:val="21"/>
        </w:rPr>
        <w:t>制定现场应急处置方案时要考虑的重点</w:t>
      </w:r>
      <w:bookmarkEnd w:id="53"/>
      <w:bookmarkEnd w:id="54"/>
    </w:p>
    <w:p w14:paraId="5734E1FE">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kern w:val="2"/>
          <w:sz w:val="21"/>
          <w:szCs w:val="21"/>
          <w:lang w:eastAsia="zh-CN"/>
        </w:rPr>
      </w:pPr>
      <w:r>
        <w:rPr>
          <w:rFonts w:hint="eastAsia" w:ascii="宋体" w:hAnsi="宋体"/>
          <w:kern w:val="2"/>
          <w:sz w:val="21"/>
          <w:szCs w:val="21"/>
        </w:rPr>
        <w:t>现场应急指挥部成立后要收集现场信息，核实现场情况，根据现场变化制定和调整现场应急处置方案，并组织实施。针对重大危险源事故，在指定现场应急处置方案时要考虑如下方面</w:t>
      </w:r>
      <w:r>
        <w:rPr>
          <w:rFonts w:hint="eastAsia" w:ascii="宋体" w:hAnsi="宋体"/>
          <w:kern w:val="2"/>
          <w:sz w:val="21"/>
          <w:szCs w:val="21"/>
          <w:lang w:eastAsia="zh-CN"/>
        </w:rPr>
        <w:t>：</w:t>
      </w:r>
    </w:p>
    <w:p w14:paraId="5FE5FCC0">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确定火灾爆炸发生位置；</w:t>
      </w:r>
    </w:p>
    <w:p w14:paraId="28C4CDAB">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确定引起火灾爆炸的物质类别及存量（压缩气体、液化气体、易燃液体、易燃物品、自燃物品等）；</w:t>
      </w:r>
    </w:p>
    <w:p w14:paraId="20154A5A">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所需的火灾应急救援处置技术和专家；</w:t>
      </w:r>
    </w:p>
    <w:p w14:paraId="0502FE77">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明确火灾爆炸、泄漏中毒发生区域的周围环境；</w:t>
      </w:r>
    </w:p>
    <w:p w14:paraId="2D34E034">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明确周围区域存在的重大危险源分布情况；</w:t>
      </w:r>
    </w:p>
    <w:p w14:paraId="5484CC1A">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确定火灾爆炸、泄漏中毒救援的基本方法；</w:t>
      </w:r>
    </w:p>
    <w:p w14:paraId="50B91D32">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确定火灾可能导致的后果；</w:t>
      </w:r>
    </w:p>
    <w:p w14:paraId="6273F1B9">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确定火灾爆炸、泄漏中毒可能导致后果对周围区域、环境的可能影响规模和程度；</w:t>
      </w:r>
    </w:p>
    <w:p w14:paraId="07EE92EA">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确定火灾爆炸、泄漏中毒可能导致后果的主要控制措施；</w:t>
      </w:r>
    </w:p>
    <w:p w14:paraId="2FAFD1F1">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可能需要调动的应急救援力量（中国石化第二联防区消防队伍、周边协议单位消防队伍等）；</w:t>
      </w:r>
    </w:p>
    <w:p w14:paraId="450342B4">
      <w:pPr>
        <w:widowControl w:val="0"/>
        <w:numPr>
          <w:ilvl w:val="0"/>
          <w:numId w:val="2"/>
        </w:numPr>
        <w:spacing w:after="0" w:line="360" w:lineRule="exact"/>
        <w:ind w:firstLineChars="0"/>
        <w:jc w:val="both"/>
        <w:rPr>
          <w:rFonts w:hint="eastAsia" w:ascii="Calibri" w:hAnsi="Calibri"/>
          <w:sz w:val="21"/>
          <w:szCs w:val="21"/>
        </w:rPr>
      </w:pPr>
      <w:r>
        <w:rPr>
          <w:rFonts w:hint="eastAsia" w:ascii="Calibri" w:hAnsi="Calibri"/>
          <w:sz w:val="21"/>
          <w:szCs w:val="21"/>
        </w:rPr>
        <w:t>应急人员和群众的个体防护措施。</w:t>
      </w:r>
    </w:p>
    <w:p w14:paraId="57D95602">
      <w:pPr>
        <w:pStyle w:val="3"/>
        <w:spacing w:after="260"/>
        <w:rPr>
          <w:rFonts w:hint="default" w:ascii="黑体" w:hAnsi="黑体" w:eastAsia="黑体" w:cs="黑体"/>
          <w:b/>
          <w:bCs w:val="0"/>
          <w:sz w:val="21"/>
          <w:szCs w:val="21"/>
          <w:lang w:val="en-US" w:eastAsia="zh-CN"/>
        </w:rPr>
      </w:pPr>
      <w:bookmarkStart w:id="55" w:name="_Toc17663"/>
      <w:bookmarkStart w:id="56" w:name="_Toc20631"/>
      <w:bookmarkStart w:id="57" w:name="_Toc9349"/>
      <w:r>
        <w:rPr>
          <w:rFonts w:hint="default" w:ascii="黑体" w:hAnsi="黑体" w:eastAsia="黑体" w:cs="黑体"/>
          <w:b/>
          <w:bCs w:val="0"/>
          <w:sz w:val="21"/>
          <w:szCs w:val="21"/>
          <w:lang w:val="en-US" w:eastAsia="zh-CN"/>
        </w:rPr>
        <w:t>5.</w:t>
      </w:r>
      <w:r>
        <w:rPr>
          <w:rFonts w:hint="eastAsia" w:ascii="黑体" w:hAnsi="黑体" w:eastAsia="黑体" w:cs="黑体"/>
          <w:b/>
          <w:bCs w:val="0"/>
          <w:sz w:val="21"/>
          <w:szCs w:val="21"/>
          <w:lang w:val="en-US" w:eastAsia="zh-CN"/>
        </w:rPr>
        <w:t>2</w:t>
      </w:r>
      <w:r>
        <w:rPr>
          <w:rFonts w:hint="default" w:ascii="黑体" w:hAnsi="黑体" w:eastAsia="黑体" w:cs="黑体"/>
          <w:b/>
          <w:bCs w:val="0"/>
          <w:sz w:val="21"/>
          <w:szCs w:val="21"/>
        </w:rPr>
        <w:t xml:space="preserve">  重大危险源事故一般处置措施</w:t>
      </w:r>
      <w:bookmarkEnd w:id="55"/>
      <w:bookmarkEnd w:id="56"/>
      <w:bookmarkEnd w:id="57"/>
    </w:p>
    <w:p w14:paraId="25243494">
      <w:pPr>
        <w:spacing w:before="100" w:after="100" w:line="360" w:lineRule="exact"/>
        <w:ind w:firstLine="0" w:firstLineChars="0"/>
        <w:jc w:val="center"/>
        <w:rPr>
          <w:rFonts w:hint="eastAsia" w:ascii="宋体" w:hAnsi="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重大危险源火灾爆炸事故一般处置措施</w:t>
      </w:r>
    </w:p>
    <w:tbl>
      <w:tblPr>
        <w:tblStyle w:val="14"/>
        <w:tblW w:w="85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45" w:type="dxa"/>
          <w:left w:w="96" w:type="dxa"/>
          <w:bottom w:w="45" w:type="dxa"/>
          <w:right w:w="96" w:type="dxa"/>
        </w:tblCellMar>
      </w:tblPr>
      <w:tblGrid>
        <w:gridCol w:w="662"/>
        <w:gridCol w:w="1255"/>
        <w:gridCol w:w="6587"/>
      </w:tblGrid>
      <w:tr w14:paraId="4EF07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tblHeader/>
          <w:jc w:val="center"/>
        </w:trPr>
        <w:tc>
          <w:tcPr>
            <w:tcW w:w="672" w:type="dxa"/>
            <w:vAlign w:val="center"/>
          </w:tcPr>
          <w:p w14:paraId="05C0058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宋体" w:hAnsi="宋体" w:eastAsia="宋体"/>
                <w:b/>
                <w:sz w:val="21"/>
                <w:szCs w:val="21"/>
                <w:lang w:eastAsia="zh-CN"/>
              </w:rPr>
            </w:pPr>
            <w:r>
              <w:rPr>
                <w:rFonts w:hint="eastAsia" w:ascii="宋体" w:hAnsi="宋体"/>
                <w:b/>
                <w:sz w:val="21"/>
                <w:szCs w:val="21"/>
                <w:lang w:eastAsia="zh-CN"/>
              </w:rPr>
              <w:t>序号</w:t>
            </w:r>
          </w:p>
        </w:tc>
        <w:tc>
          <w:tcPr>
            <w:tcW w:w="1276" w:type="dxa"/>
            <w:tcBorders>
              <w:right w:val="single" w:color="auto" w:sz="4" w:space="0"/>
            </w:tcBorders>
            <w:vAlign w:val="center"/>
          </w:tcPr>
          <w:p w14:paraId="01B004D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宋体" w:hAnsi="宋体" w:eastAsia="宋体"/>
                <w:b/>
                <w:sz w:val="21"/>
                <w:szCs w:val="21"/>
                <w:lang w:eastAsia="zh-CN"/>
              </w:rPr>
            </w:pPr>
            <w:r>
              <w:rPr>
                <w:rFonts w:hint="eastAsia" w:ascii="宋体" w:hAnsi="宋体"/>
                <w:b/>
                <w:sz w:val="21"/>
                <w:szCs w:val="21"/>
                <w:lang w:eastAsia="zh-CN"/>
              </w:rPr>
              <w:t>任务</w:t>
            </w:r>
          </w:p>
        </w:tc>
        <w:tc>
          <w:tcPr>
            <w:tcW w:w="6716" w:type="dxa"/>
            <w:tcBorders>
              <w:left w:val="single" w:color="auto" w:sz="4" w:space="0"/>
            </w:tcBorders>
            <w:vAlign w:val="center"/>
          </w:tcPr>
          <w:p w14:paraId="69D7DFF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宋体" w:hAnsi="宋体" w:eastAsia="宋体"/>
                <w:b/>
                <w:sz w:val="21"/>
                <w:szCs w:val="21"/>
                <w:lang w:eastAsia="zh-CN"/>
              </w:rPr>
            </w:pPr>
            <w:r>
              <w:rPr>
                <w:rFonts w:hint="eastAsia" w:ascii="宋体" w:hAnsi="宋体"/>
                <w:b/>
                <w:sz w:val="21"/>
                <w:szCs w:val="21"/>
                <w:lang w:eastAsia="zh-CN"/>
              </w:rPr>
              <w:t>主要工作内容</w:t>
            </w:r>
          </w:p>
        </w:tc>
      </w:tr>
      <w:tr w14:paraId="29C89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6AD0F9D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1</w:t>
            </w:r>
          </w:p>
        </w:tc>
        <w:tc>
          <w:tcPr>
            <w:tcW w:w="1276" w:type="dxa"/>
            <w:tcBorders>
              <w:right w:val="single" w:color="auto" w:sz="4" w:space="0"/>
            </w:tcBorders>
            <w:vAlign w:val="center"/>
          </w:tcPr>
          <w:p w14:paraId="043D016B">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侦察、</w:t>
            </w:r>
          </w:p>
          <w:p w14:paraId="63013C6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检测</w:t>
            </w:r>
          </w:p>
        </w:tc>
        <w:tc>
          <w:tcPr>
            <w:tcW w:w="6716" w:type="dxa"/>
            <w:tcBorders>
              <w:left w:val="single" w:color="auto" w:sz="4" w:space="0"/>
            </w:tcBorders>
            <w:vAlign w:val="center"/>
          </w:tcPr>
          <w:p w14:paraId="0FE625D0">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侦察事故现场，确认以下情况：</w:t>
            </w:r>
          </w:p>
          <w:p w14:paraId="79ACE74C">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a)是否发生人员伤亡，受伤人员所处位置及受伤程度；</w:t>
            </w:r>
          </w:p>
          <w:p w14:paraId="2D60686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b)容器储量，温度、压力异常情况，燃烧时间、部位、形式、蔓延方向、火势范围与阶段、对毗邻部位威胁程度；</w:t>
            </w:r>
          </w:p>
          <w:p w14:paraId="5D8EA8D3">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c)生产装置、控制路线、建(构)筑物损坏程度；</w:t>
            </w:r>
          </w:p>
          <w:p w14:paraId="35451968">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d)消防力量与现场技术人员进行沟通，确定灭火救援方案；</w:t>
            </w:r>
          </w:p>
          <w:p w14:paraId="5E44F18D">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e)现场水体防控设施情况；</w:t>
            </w:r>
          </w:p>
          <w:p w14:paraId="7855A012">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f)现场及周边污染情况。</w:t>
            </w:r>
          </w:p>
          <w:p w14:paraId="629A5A7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检测人员在不同方位从火场外围向内检测易燃易爆、有害物质的扩散范围,特别注意对周边暗渠、管沟、管井等相对密闭空间进行检测。</w:t>
            </w:r>
          </w:p>
          <w:p w14:paraId="74E92419">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了解周边单位、人员、地形等情况。</w:t>
            </w:r>
          </w:p>
        </w:tc>
      </w:tr>
      <w:tr w14:paraId="658E5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53AC66E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2</w:t>
            </w:r>
          </w:p>
        </w:tc>
        <w:tc>
          <w:tcPr>
            <w:tcW w:w="1276" w:type="dxa"/>
            <w:tcBorders>
              <w:right w:val="single" w:color="auto" w:sz="4" w:space="0"/>
            </w:tcBorders>
            <w:vAlign w:val="center"/>
          </w:tcPr>
          <w:p w14:paraId="5DC6E49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隔离、</w:t>
            </w:r>
          </w:p>
          <w:p w14:paraId="4C74022E">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疏散</w:t>
            </w:r>
          </w:p>
        </w:tc>
        <w:tc>
          <w:tcPr>
            <w:tcW w:w="6716" w:type="dxa"/>
            <w:tcBorders>
              <w:left w:val="single" w:color="auto" w:sz="4" w:space="0"/>
            </w:tcBorders>
            <w:vAlign w:val="center"/>
          </w:tcPr>
          <w:p w14:paraId="3486772A">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根据现场侦检情况确定警戒区域，实施警戒、疏散和交通管制：</w:t>
            </w:r>
          </w:p>
          <w:p w14:paraId="14D59CED">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根据现场实际情况，按照温度或有毒有害气体浓度等指标，划分警戒区域，设立警戒标志，安排专人负责。</w:t>
            </w:r>
          </w:p>
          <w:p w14:paraId="4EC99103">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 xml:space="preserve">合理设置出入口和行驶路线，对进出人员、车辆、物资实施严格管控。 </w:t>
            </w:r>
          </w:p>
          <w:p w14:paraId="7693CF48">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组织警戒区内的无关人员有序疏散。</w:t>
            </w:r>
          </w:p>
          <w:p w14:paraId="2CCCEE0D">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必要时联系地方政府交管部门实施区域交通管制。</w:t>
            </w:r>
          </w:p>
        </w:tc>
      </w:tr>
      <w:tr w14:paraId="0AE25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0EF925C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3</w:t>
            </w:r>
          </w:p>
        </w:tc>
        <w:tc>
          <w:tcPr>
            <w:tcW w:w="1276" w:type="dxa"/>
            <w:tcBorders>
              <w:right w:val="single" w:color="auto" w:sz="4" w:space="0"/>
            </w:tcBorders>
            <w:vAlign w:val="center"/>
          </w:tcPr>
          <w:p w14:paraId="0F4DE0D3">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救生与救护</w:t>
            </w:r>
          </w:p>
        </w:tc>
        <w:tc>
          <w:tcPr>
            <w:tcW w:w="6716" w:type="dxa"/>
            <w:tcBorders>
              <w:left w:val="single" w:color="auto" w:sz="4" w:space="0"/>
            </w:tcBorders>
            <w:vAlign w:val="center"/>
          </w:tcPr>
          <w:p w14:paraId="08BD0D9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组成医疗救护组，携带救生器材迅速进入现场。采取正确的救助方式，将所有遇险人员移至上风或侧上风方向空气无污染地区；</w:t>
            </w:r>
          </w:p>
          <w:p w14:paraId="28FA869A">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对救出人员进行登记、标识和现场急救；</w:t>
            </w:r>
          </w:p>
          <w:p w14:paraId="55EDD322">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将伤情较重者送医疗急救部门救治；</w:t>
            </w:r>
          </w:p>
          <w:p w14:paraId="4B4E8BA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对于中毒者要使用特效药物对症治疗。</w:t>
            </w:r>
          </w:p>
        </w:tc>
      </w:tr>
      <w:tr w14:paraId="3FE09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436A7056">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4</w:t>
            </w:r>
          </w:p>
        </w:tc>
        <w:tc>
          <w:tcPr>
            <w:tcW w:w="1276" w:type="dxa"/>
            <w:tcBorders>
              <w:right w:val="single" w:color="auto" w:sz="4" w:space="0"/>
            </w:tcBorders>
            <w:vAlign w:val="center"/>
          </w:tcPr>
          <w:p w14:paraId="324FB8D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风险源 控制</w:t>
            </w:r>
          </w:p>
        </w:tc>
        <w:tc>
          <w:tcPr>
            <w:tcW w:w="6716" w:type="dxa"/>
            <w:tcBorders>
              <w:left w:val="single" w:color="auto" w:sz="4" w:space="0"/>
            </w:tcBorders>
            <w:vAlign w:val="center"/>
          </w:tcPr>
          <w:p w14:paraId="03A64E2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在实施灭火前，要对火场现场进行风险源控制，以达到灭火条件：</w:t>
            </w:r>
          </w:p>
          <w:p w14:paraId="07831D2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控险：</w:t>
            </w:r>
          </w:p>
          <w:p w14:paraId="32DD6A1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a)对周围受火灾威胁的设施及时采取冷却保护措施；</w:t>
            </w:r>
          </w:p>
          <w:p w14:paraId="651A5A13">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b)采取关阀、断料、倒罐或泄压、垫水等工艺处置措施；</w:t>
            </w:r>
          </w:p>
          <w:p w14:paraId="65593BAB">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c)转移受火势威胁的物资和移动设施。</w:t>
            </w:r>
          </w:p>
          <w:p w14:paraId="714BE2AC">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排险：</w:t>
            </w:r>
          </w:p>
          <w:p w14:paraId="47B4886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a)在集中力量向泄漏点、主火点进攻的同时积极消除外围不利因素；</w:t>
            </w:r>
          </w:p>
          <w:p w14:paraId="4F3B944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b)用毛毡、防火布等隔离含油污水系统、窨井井口等处， 防止引发新的灾害；</w:t>
            </w:r>
          </w:p>
          <w:p w14:paraId="6BA8C79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c)对于气体火灾， 在无法立即进行泄漏点封堵的情况下， 应保持火焰燃烧， 避 免可燃气体聚集导致的爆炸风险。</w:t>
            </w:r>
          </w:p>
        </w:tc>
      </w:tr>
      <w:tr w14:paraId="0A127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6EC7932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5</w:t>
            </w:r>
          </w:p>
        </w:tc>
        <w:tc>
          <w:tcPr>
            <w:tcW w:w="1276" w:type="dxa"/>
            <w:tcBorders>
              <w:right w:val="single" w:color="auto" w:sz="4" w:space="0"/>
            </w:tcBorders>
            <w:vAlign w:val="center"/>
          </w:tcPr>
          <w:p w14:paraId="340D6DF6">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火灾</w:t>
            </w:r>
          </w:p>
          <w:p w14:paraId="7E8E701A">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扑救</w:t>
            </w:r>
          </w:p>
        </w:tc>
        <w:tc>
          <w:tcPr>
            <w:tcW w:w="6716" w:type="dxa"/>
            <w:tcBorders>
              <w:left w:val="single" w:color="auto" w:sz="4" w:space="0"/>
            </w:tcBorders>
            <w:vAlign w:val="center"/>
          </w:tcPr>
          <w:p w14:paraId="2BF54FF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兵力、装备、灭火剂已准备就绪</w:t>
            </w:r>
            <w:r>
              <w:rPr>
                <w:rFonts w:ascii="宋体" w:hAnsi="宋体" w:eastAsia="宋体"/>
                <w:sz w:val="21"/>
                <w:szCs w:val="21"/>
              </w:rPr>
              <w:t>,</w:t>
            </w:r>
            <w:r>
              <w:rPr>
                <w:rFonts w:hint="eastAsia" w:ascii="宋体" w:hAnsi="宋体" w:eastAsia="宋体"/>
                <w:sz w:val="21"/>
                <w:szCs w:val="21"/>
              </w:rPr>
              <w:t>具备灭火条件时，方可实施灭火；</w:t>
            </w:r>
          </w:p>
          <w:p w14:paraId="164397F0">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根据燃烧物质特性和现场情况，正确选用灭火剂和灭火方法；</w:t>
            </w:r>
          </w:p>
          <w:p w14:paraId="6892DD6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优先利用固定、半固定设施实施灭火，</w:t>
            </w:r>
            <w:r>
              <w:rPr>
                <w:rFonts w:ascii="宋体" w:hAnsi="宋体" w:eastAsia="宋体"/>
                <w:sz w:val="21"/>
                <w:szCs w:val="21"/>
              </w:rPr>
              <w:t xml:space="preserve"> </w:t>
            </w:r>
            <w:r>
              <w:rPr>
                <w:rFonts w:hint="eastAsia" w:ascii="宋体" w:hAnsi="宋体" w:eastAsia="宋体"/>
                <w:sz w:val="21"/>
                <w:szCs w:val="21"/>
              </w:rPr>
              <w:t>同时发挥移动消防设施、装备机动灵活优势配合处置；</w:t>
            </w:r>
          </w:p>
          <w:p w14:paraId="2E4F780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高空、高点部位火灾应采取上下立体夹攻的方法，消灭空间液体流淌火；</w:t>
            </w:r>
          </w:p>
          <w:p w14:paraId="48EF2A67">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对流到地面的燃烧液体，采取筑堤导流、泡沫覆盖得灭火措施；</w:t>
            </w:r>
          </w:p>
          <w:p w14:paraId="0D2E284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hint="eastAsia" w:ascii="宋体" w:hAnsi="宋体" w:eastAsia="宋体"/>
                <w:sz w:val="21"/>
                <w:szCs w:val="21"/>
              </w:rPr>
            </w:pPr>
            <w:r>
              <w:rPr>
                <w:rFonts w:hint="eastAsia" w:ascii="宋体" w:hAnsi="宋体" w:eastAsia="宋体"/>
                <w:sz w:val="21"/>
                <w:szCs w:val="21"/>
              </w:rPr>
              <w:t>对明沟流淌火，要筑堤分割，分段堵截，引流至安全地带集中管控；</w:t>
            </w:r>
          </w:p>
          <w:p w14:paraId="7C098E89">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eastAsia="宋体"/>
                <w:sz w:val="21"/>
                <w:szCs w:val="21"/>
              </w:rPr>
            </w:pPr>
            <w:r>
              <w:rPr>
                <w:rFonts w:hint="eastAsia" w:ascii="宋体" w:hAnsi="宋体" w:eastAsia="宋体"/>
                <w:sz w:val="21"/>
                <w:szCs w:val="21"/>
              </w:rPr>
              <w:t>对暗沟流淌火，要泡沫灌注，封闭窒息，并严密监控防止爆炸混合性气体集聚。</w:t>
            </w:r>
          </w:p>
        </w:tc>
      </w:tr>
      <w:tr w14:paraId="633AF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256D36E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6</w:t>
            </w:r>
          </w:p>
        </w:tc>
        <w:tc>
          <w:tcPr>
            <w:tcW w:w="1276" w:type="dxa"/>
            <w:tcBorders>
              <w:right w:val="single" w:color="auto" w:sz="4" w:space="0"/>
            </w:tcBorders>
            <w:vAlign w:val="center"/>
          </w:tcPr>
          <w:p w14:paraId="0ED5AB9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环境</w:t>
            </w:r>
          </w:p>
          <w:p w14:paraId="2182B6D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监测</w:t>
            </w:r>
          </w:p>
        </w:tc>
        <w:tc>
          <w:tcPr>
            <w:tcW w:w="6716" w:type="dxa"/>
            <w:tcBorders>
              <w:left w:val="single" w:color="auto" w:sz="4" w:space="0"/>
            </w:tcBorders>
            <w:vAlign w:val="center"/>
          </w:tcPr>
          <w:p w14:paraId="74CC976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监测空气中有毒物质的浓度、现场风向等气象条件，确定警戒和疏散范围，并发出有害气体逸散警报。</w:t>
            </w:r>
          </w:p>
        </w:tc>
      </w:tr>
      <w:tr w14:paraId="7A8D7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6C7AF38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7</w:t>
            </w:r>
          </w:p>
        </w:tc>
        <w:tc>
          <w:tcPr>
            <w:tcW w:w="1276" w:type="dxa"/>
            <w:tcBorders>
              <w:right w:val="single" w:color="auto" w:sz="4" w:space="0"/>
            </w:tcBorders>
            <w:vAlign w:val="center"/>
          </w:tcPr>
          <w:p w14:paraId="3AAAE22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洗消</w:t>
            </w:r>
          </w:p>
        </w:tc>
        <w:tc>
          <w:tcPr>
            <w:tcW w:w="6716" w:type="dxa"/>
            <w:tcBorders>
              <w:left w:val="single" w:color="auto" w:sz="4" w:space="0"/>
            </w:tcBorders>
            <w:vAlign w:val="center"/>
          </w:tcPr>
          <w:p w14:paraId="2F7E1205">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根据现场危险化学品的毒性，考虑在安全区设立洗消站,使用相应的洗消药剂；</w:t>
            </w:r>
          </w:p>
          <w:p w14:paraId="4A377EA8">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洗消的对象：中毒的人员在送医院治疗之前，现场医务人员、消防和其他抢险人员、抢救及染毒器具等；</w:t>
            </w:r>
          </w:p>
          <w:p w14:paraId="7D067268">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洗消污水的排放必须经过污染防控组的检测，以防造成次生灾害。</w:t>
            </w:r>
          </w:p>
        </w:tc>
      </w:tr>
      <w:tr w14:paraId="65A33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527A45B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8</w:t>
            </w:r>
          </w:p>
        </w:tc>
        <w:tc>
          <w:tcPr>
            <w:tcW w:w="1276" w:type="dxa"/>
            <w:tcBorders>
              <w:right w:val="single" w:color="auto" w:sz="4" w:space="0"/>
            </w:tcBorders>
            <w:vAlign w:val="center"/>
          </w:tcPr>
          <w:p w14:paraId="2360CFC6">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清理</w:t>
            </w:r>
          </w:p>
        </w:tc>
        <w:tc>
          <w:tcPr>
            <w:tcW w:w="6716" w:type="dxa"/>
            <w:tcBorders>
              <w:left w:val="single" w:color="auto" w:sz="4" w:space="0"/>
            </w:tcBorders>
            <w:vAlign w:val="center"/>
          </w:tcPr>
          <w:p w14:paraId="5D9EE965">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用消防水喷雾、蒸气清扫现场内事故罐、管道、低洼、沟渠等处，确保不留残气</w:t>
            </w:r>
            <w:r>
              <w:rPr>
                <w:rFonts w:ascii="宋体" w:hAnsi="宋体" w:eastAsia="宋体"/>
                <w:sz w:val="21"/>
                <w:szCs w:val="21"/>
              </w:rPr>
              <w:t>(</w:t>
            </w:r>
            <w:r>
              <w:rPr>
                <w:rFonts w:hint="eastAsia" w:ascii="宋体" w:hAnsi="宋体" w:eastAsia="宋体"/>
                <w:sz w:val="21"/>
                <w:szCs w:val="21"/>
              </w:rPr>
              <w:t>液</w:t>
            </w:r>
            <w:r>
              <w:rPr>
                <w:rFonts w:ascii="宋体" w:hAnsi="宋体" w:eastAsia="宋体"/>
                <w:sz w:val="21"/>
                <w:szCs w:val="21"/>
              </w:rPr>
              <w:t>)</w:t>
            </w:r>
            <w:r>
              <w:rPr>
                <w:rFonts w:hint="eastAsia" w:ascii="宋体" w:hAnsi="宋体" w:eastAsia="宋体"/>
                <w:sz w:val="21"/>
                <w:szCs w:val="21"/>
              </w:rPr>
              <w:t>；</w:t>
            </w:r>
          </w:p>
          <w:p w14:paraId="4D599C47">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小量残液，用干沙土、炉灰、干粉等吸附；大量残液，用防爆泵、防爆吸污车抽吸或使用无火花盛器收集，集中处理；</w:t>
            </w:r>
          </w:p>
          <w:p w14:paraId="28D12185">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在污染地面洒上中和或洗涤剂浸洗，然后用大量直流水清扫现场，特别是低洼、沟渠等处，确保不留残液。</w:t>
            </w:r>
          </w:p>
        </w:tc>
      </w:tr>
      <w:tr w14:paraId="6CA76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2" w:type="dxa"/>
            <w:vAlign w:val="center"/>
          </w:tcPr>
          <w:p w14:paraId="1F4F2E83">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9</w:t>
            </w:r>
          </w:p>
        </w:tc>
        <w:tc>
          <w:tcPr>
            <w:tcW w:w="1276" w:type="dxa"/>
            <w:tcBorders>
              <w:right w:val="single" w:color="auto" w:sz="4" w:space="0"/>
            </w:tcBorders>
            <w:vAlign w:val="center"/>
          </w:tcPr>
          <w:p w14:paraId="6E2984CB">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环境保护措施</w:t>
            </w:r>
          </w:p>
        </w:tc>
        <w:tc>
          <w:tcPr>
            <w:tcW w:w="6716" w:type="dxa"/>
            <w:tcBorders>
              <w:left w:val="single" w:color="auto" w:sz="4" w:space="0"/>
            </w:tcBorders>
            <w:vAlign w:val="center"/>
          </w:tcPr>
          <w:p w14:paraId="01D8DC56">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对灭火后的残留物料和消防废水立即进行回收处理，调整清污分流切换阀，同时对装置区域雨水总排放口进行截堵。在水质突变的情况下，紧急投用事故污水调节罐或事故池。</w:t>
            </w:r>
          </w:p>
        </w:tc>
      </w:tr>
      <w:tr w14:paraId="561D0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45" w:type="dxa"/>
            <w:left w:w="96" w:type="dxa"/>
            <w:bottom w:w="45" w:type="dxa"/>
            <w:right w:w="96" w:type="dxa"/>
          </w:tblCellMar>
        </w:tblPrEx>
        <w:trPr>
          <w:trHeight w:val="0" w:hRule="atLeast"/>
          <w:jc w:val="center"/>
        </w:trPr>
        <w:tc>
          <w:tcPr>
            <w:tcW w:w="6716" w:type="dxa"/>
            <w:gridSpan w:val="3"/>
            <w:vAlign w:val="center"/>
          </w:tcPr>
          <w:p w14:paraId="0C9D861B">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b/>
                <w:sz w:val="21"/>
                <w:szCs w:val="21"/>
              </w:rPr>
            </w:pPr>
            <w:r>
              <w:rPr>
                <w:rFonts w:hint="eastAsia" w:ascii="宋体" w:hAnsi="宋体"/>
                <w:b/>
                <w:sz w:val="21"/>
                <w:szCs w:val="21"/>
              </w:rPr>
              <w:t>进入火灾现场时，要注意安全防护</w:t>
            </w:r>
          </w:p>
          <w:p w14:paraId="77854C3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sz w:val="21"/>
                <w:szCs w:val="21"/>
              </w:rPr>
            </w:pPr>
            <w:r>
              <w:rPr>
                <w:rFonts w:hint="eastAsia" w:ascii="宋体" w:hAnsi="宋体"/>
                <w:sz w:val="21"/>
                <w:szCs w:val="21"/>
              </w:rPr>
              <w:t>进入现场救援人员必须配备必要的个体防护器具；</w:t>
            </w:r>
          </w:p>
          <w:p w14:paraId="2DB6099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sz w:val="21"/>
                <w:szCs w:val="21"/>
              </w:rPr>
            </w:pPr>
            <w:r>
              <w:rPr>
                <w:rFonts w:hint="eastAsia" w:ascii="宋体" w:hAnsi="宋体"/>
                <w:sz w:val="21"/>
                <w:szCs w:val="21"/>
              </w:rPr>
              <w:t>根据火灾爆炸危险化学品的毒性及划定的危险区域，确定相应的个体防护等级。防护等级划分标准和防护标准见附录；</w:t>
            </w:r>
          </w:p>
          <w:p w14:paraId="0E2B2482">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sz w:val="21"/>
                <w:szCs w:val="21"/>
              </w:rPr>
            </w:pPr>
            <w:r>
              <w:rPr>
                <w:rFonts w:hint="eastAsia" w:ascii="宋体" w:hAnsi="宋体"/>
                <w:sz w:val="21"/>
                <w:szCs w:val="21"/>
              </w:rPr>
              <w:t>灭火时严禁单独行动，必要时水枪、水炮掩护；</w:t>
            </w:r>
          </w:p>
          <w:p w14:paraId="7C4CE52B">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sz w:val="21"/>
                <w:szCs w:val="21"/>
              </w:rPr>
            </w:pPr>
            <w:r>
              <w:rPr>
                <w:rFonts w:hint="eastAsia" w:ascii="宋体" w:hAnsi="宋体"/>
                <w:sz w:val="21"/>
                <w:szCs w:val="21"/>
              </w:rPr>
              <w:t>着火设施出现爆炸征兆时，应果断撤离。</w:t>
            </w:r>
          </w:p>
        </w:tc>
      </w:tr>
    </w:tbl>
    <w:p w14:paraId="607BCE1D">
      <w:pPr>
        <w:pStyle w:val="3"/>
        <w:spacing w:after="260"/>
        <w:rPr>
          <w:rFonts w:hint="default" w:ascii="黑体" w:hAnsi="黑体" w:eastAsia="黑体" w:cs="黑体"/>
          <w:b/>
          <w:bCs w:val="0"/>
          <w:sz w:val="21"/>
          <w:szCs w:val="21"/>
          <w:lang w:val="en-US" w:eastAsia="zh-CN"/>
        </w:rPr>
      </w:pPr>
      <w:bookmarkStart w:id="58" w:name="_Toc30005"/>
      <w:bookmarkStart w:id="59" w:name="_Toc17678"/>
      <w:bookmarkStart w:id="60" w:name="_Toc11439"/>
      <w:r>
        <w:rPr>
          <w:rFonts w:hint="default" w:ascii="黑体" w:hAnsi="黑体" w:eastAsia="黑体" w:cs="黑体"/>
          <w:b/>
          <w:bCs w:val="0"/>
          <w:sz w:val="21"/>
          <w:szCs w:val="21"/>
          <w:lang w:val="en-US" w:eastAsia="zh-CN"/>
        </w:rPr>
        <w:t>5.</w:t>
      </w:r>
      <w:r>
        <w:rPr>
          <w:rFonts w:hint="eastAsia" w:ascii="黑体" w:hAnsi="黑体" w:eastAsia="黑体" w:cs="黑体"/>
          <w:b/>
          <w:bCs w:val="0"/>
          <w:sz w:val="21"/>
          <w:szCs w:val="21"/>
          <w:lang w:val="en-US" w:eastAsia="zh-CN"/>
        </w:rPr>
        <w:t>3</w:t>
      </w:r>
      <w:r>
        <w:rPr>
          <w:rFonts w:hint="default" w:ascii="黑体" w:hAnsi="黑体" w:eastAsia="黑体" w:cs="黑体"/>
          <w:b/>
          <w:bCs w:val="0"/>
          <w:sz w:val="21"/>
          <w:szCs w:val="21"/>
        </w:rPr>
        <w:t xml:space="preserve">  典型设施和场景应急处置时注意事项</w:t>
      </w:r>
      <w:bookmarkEnd w:id="58"/>
      <w:bookmarkEnd w:id="59"/>
      <w:bookmarkEnd w:id="60"/>
    </w:p>
    <w:p w14:paraId="62B5B1AD">
      <w:pPr>
        <w:spacing w:before="100" w:after="100" w:line="360" w:lineRule="exact"/>
        <w:jc w:val="center"/>
        <w:rPr>
          <w:rFonts w:hint="eastAsia" w:ascii="宋体" w:hAnsi="宋体" w:cs="宋体"/>
          <w:b/>
          <w:bCs/>
          <w:sz w:val="21"/>
          <w:szCs w:val="21"/>
          <w:lang w:val="en-US" w:eastAsia="zh-CN"/>
        </w:rPr>
      </w:pPr>
      <w:r>
        <w:rPr>
          <w:rFonts w:hint="eastAsia" w:ascii="宋体" w:hAnsi="宋体" w:eastAsia="宋体" w:cs="宋体"/>
          <w:b/>
          <w:bCs/>
          <w:sz w:val="21"/>
          <w:szCs w:val="21"/>
        </w:rPr>
        <w:t>表2典型设施和场景应急处置时注意事项</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96" w:type="dxa"/>
          <w:bottom w:w="45" w:type="dxa"/>
          <w:right w:w="96" w:type="dxa"/>
        </w:tblCellMar>
      </w:tblPr>
      <w:tblGrid>
        <w:gridCol w:w="662"/>
        <w:gridCol w:w="1734"/>
        <w:gridCol w:w="6108"/>
      </w:tblGrid>
      <w:tr w14:paraId="7DD5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tblHeader/>
          <w:jc w:val="center"/>
        </w:trPr>
        <w:tc>
          <w:tcPr>
            <w:tcW w:w="662" w:type="dxa"/>
            <w:vAlign w:val="center"/>
          </w:tcPr>
          <w:p w14:paraId="3966FC1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宋体" w:hAnsi="宋体" w:eastAsia="宋体"/>
                <w:b/>
                <w:sz w:val="21"/>
                <w:szCs w:val="21"/>
                <w:lang w:eastAsia="zh-CN"/>
              </w:rPr>
            </w:pPr>
            <w:r>
              <w:rPr>
                <w:rFonts w:hint="eastAsia" w:ascii="宋体" w:hAnsi="宋体"/>
                <w:b/>
                <w:sz w:val="21"/>
                <w:szCs w:val="21"/>
                <w:lang w:eastAsia="zh-CN"/>
              </w:rPr>
              <w:t>序号</w:t>
            </w:r>
          </w:p>
        </w:tc>
        <w:tc>
          <w:tcPr>
            <w:tcW w:w="1734" w:type="dxa"/>
            <w:vAlign w:val="center"/>
          </w:tcPr>
          <w:p w14:paraId="332AD04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宋体" w:hAnsi="宋体" w:eastAsia="宋体"/>
                <w:b/>
                <w:sz w:val="21"/>
                <w:szCs w:val="21"/>
                <w:lang w:eastAsia="zh-CN"/>
              </w:rPr>
            </w:pPr>
            <w:r>
              <w:rPr>
                <w:rFonts w:hint="eastAsia" w:ascii="宋体" w:hAnsi="宋体"/>
                <w:b/>
                <w:sz w:val="21"/>
                <w:szCs w:val="21"/>
                <w:lang w:eastAsia="zh-CN"/>
              </w:rPr>
              <w:t>典型设施或场景</w:t>
            </w:r>
          </w:p>
        </w:tc>
        <w:tc>
          <w:tcPr>
            <w:tcW w:w="6108" w:type="dxa"/>
            <w:vAlign w:val="center"/>
          </w:tcPr>
          <w:p w14:paraId="485EE00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宋体" w:hAnsi="宋体" w:eastAsia="宋体"/>
                <w:b/>
                <w:sz w:val="21"/>
                <w:szCs w:val="21"/>
                <w:lang w:eastAsia="zh-CN"/>
              </w:rPr>
            </w:pPr>
            <w:r>
              <w:rPr>
                <w:rFonts w:hint="eastAsia" w:ascii="宋体" w:hAnsi="宋体"/>
                <w:b/>
                <w:sz w:val="21"/>
                <w:szCs w:val="21"/>
                <w:lang w:eastAsia="zh-CN"/>
              </w:rPr>
              <w:t>注意事项</w:t>
            </w:r>
          </w:p>
        </w:tc>
      </w:tr>
      <w:tr w14:paraId="6606F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jc w:val="center"/>
        </w:trPr>
        <w:tc>
          <w:tcPr>
            <w:tcW w:w="662" w:type="dxa"/>
            <w:vAlign w:val="center"/>
          </w:tcPr>
          <w:p w14:paraId="1B55ACB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1</w:t>
            </w:r>
          </w:p>
        </w:tc>
        <w:tc>
          <w:tcPr>
            <w:tcW w:w="1734" w:type="dxa"/>
            <w:vAlign w:val="center"/>
          </w:tcPr>
          <w:p w14:paraId="005C9A6E">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火灾救援通用注意事项</w:t>
            </w:r>
          </w:p>
        </w:tc>
        <w:tc>
          <w:tcPr>
            <w:tcW w:w="6108" w:type="dxa"/>
            <w:vAlign w:val="center"/>
          </w:tcPr>
          <w:p w14:paraId="41A99BE9">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救援人员、车辆应由上风或侧上风方向进入，并保持适当安全距离；</w:t>
            </w:r>
          </w:p>
          <w:p w14:paraId="6C321906">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严格控制现场救援人员数量，灭火时避免单独行动；</w:t>
            </w:r>
          </w:p>
          <w:p w14:paraId="6E866E9D">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进入现场前进行气体检测，救援人员配备必要的个体防护器具；</w:t>
            </w:r>
          </w:p>
          <w:p w14:paraId="759ED7E9">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出现爆炸征兆时，立即果断组织现场人员撤离。</w:t>
            </w:r>
          </w:p>
        </w:tc>
      </w:tr>
      <w:tr w14:paraId="12998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jc w:val="center"/>
        </w:trPr>
        <w:tc>
          <w:tcPr>
            <w:tcW w:w="662" w:type="dxa"/>
            <w:vAlign w:val="center"/>
          </w:tcPr>
          <w:p w14:paraId="55F1667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2</w:t>
            </w:r>
          </w:p>
        </w:tc>
        <w:tc>
          <w:tcPr>
            <w:tcW w:w="1734" w:type="dxa"/>
            <w:vAlign w:val="center"/>
          </w:tcPr>
          <w:p w14:paraId="4AEB546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装置类火灾爆炸</w:t>
            </w:r>
          </w:p>
        </w:tc>
        <w:tc>
          <w:tcPr>
            <w:tcW w:w="6108" w:type="dxa"/>
            <w:vAlign w:val="center"/>
          </w:tcPr>
          <w:p w14:paraId="05F7E89B">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对于扑救装置类火灾要立体围控，全面控制：</w:t>
            </w:r>
          </w:p>
          <w:p w14:paraId="2B70ADB5">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迅速组织力量，占据有利位置，利用车载炮压制火势冷却火点及周边装置框架，防止发生坍塌；</w:t>
            </w:r>
          </w:p>
          <w:p w14:paraId="556A3972">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充分利用现场固定、半固定设施，并保证火场用水和灭火剂的充足；</w:t>
            </w:r>
          </w:p>
          <w:p w14:paraId="0B86615A">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环境复杂情况不明时，利用无人机进行侦检、监控，利用灭火机器人或架设遥控移动炮等远程操控设备进入灭火；</w:t>
            </w:r>
          </w:p>
          <w:p w14:paraId="085A8E9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对临近火点的换热器、反应釜等高温、高压设备进行均匀冷却保护；</w:t>
            </w:r>
          </w:p>
          <w:p w14:paraId="70E9F47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利用举高喷射消防车，或在临近火点的高点部位设置移动炮，扑救框架上方火灾；</w:t>
            </w:r>
          </w:p>
          <w:p w14:paraId="5A58C31D">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塔釜内部火灾可采取灌注灭火；</w:t>
            </w:r>
          </w:p>
          <w:p w14:paraId="101D337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在地面设置泡沫枪清理流淌火，在蔓延方向安全区域筑堤防止扩散。</w:t>
            </w:r>
          </w:p>
        </w:tc>
      </w:tr>
      <w:tr w14:paraId="5B27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jc w:val="center"/>
        </w:trPr>
        <w:tc>
          <w:tcPr>
            <w:tcW w:w="662" w:type="dxa"/>
            <w:vAlign w:val="center"/>
          </w:tcPr>
          <w:p w14:paraId="5166D19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3</w:t>
            </w:r>
          </w:p>
        </w:tc>
        <w:tc>
          <w:tcPr>
            <w:tcW w:w="1734" w:type="dxa"/>
            <w:vAlign w:val="center"/>
          </w:tcPr>
          <w:p w14:paraId="718820B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大型储罐火灾爆炸</w:t>
            </w:r>
          </w:p>
        </w:tc>
        <w:tc>
          <w:tcPr>
            <w:tcW w:w="6108" w:type="dxa"/>
            <w:vAlign w:val="center"/>
          </w:tcPr>
          <w:p w14:paraId="0ADA16C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当第一批到场力量不具备扑灭火灾条件时，应迅速布置力量控制火势，并对临近储罐或设施加强冷却保护，防止火势扩大；</w:t>
            </w:r>
          </w:p>
          <w:p w14:paraId="411E1946">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组织力量保证火场用水和灭火剂的充足；</w:t>
            </w:r>
          </w:p>
          <w:p w14:paraId="4A83E7E7">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利用现场固定、半固定设施灭火，充分发挥举高喷射消防车高举高打扑救火灾；</w:t>
            </w:r>
          </w:p>
          <w:p w14:paraId="3630B4E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储罐密封圈发生火灾时，应立即查明情况，布置力量保护人员登罐灭火；</w:t>
            </w:r>
          </w:p>
          <w:p w14:paraId="2959AD40">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出现地面流淌、道路受损等车辆、人员不宜进入时，利用无人机进行侦检、监控，利用灭火机器人或架设遥控移动炮等远程操控设备层层推进进入灭火；</w:t>
            </w:r>
          </w:p>
          <w:p w14:paraId="7E8C9D5D">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如为重质油品应加强对沸溢、喷溅征兆的观察，可采用降低水垫层的措施，防止发生沸溢和喷溅；</w:t>
            </w:r>
          </w:p>
          <w:p w14:paraId="6B77F683">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燃烧油罐的火势被扑救后，要继续对罐壁进行冷却，并做好现场观察，直至油品温度降至其燃点温度以下，以防止复燃。</w:t>
            </w:r>
          </w:p>
        </w:tc>
      </w:tr>
      <w:tr w14:paraId="6EC3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jc w:val="center"/>
        </w:trPr>
        <w:tc>
          <w:tcPr>
            <w:tcW w:w="662" w:type="dxa"/>
            <w:vAlign w:val="center"/>
          </w:tcPr>
          <w:p w14:paraId="60533F4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4</w:t>
            </w:r>
          </w:p>
        </w:tc>
        <w:tc>
          <w:tcPr>
            <w:tcW w:w="1734" w:type="dxa"/>
            <w:vAlign w:val="center"/>
          </w:tcPr>
          <w:p w14:paraId="2106B43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液化烃 储罐火灾爆炸</w:t>
            </w:r>
          </w:p>
        </w:tc>
        <w:tc>
          <w:tcPr>
            <w:tcW w:w="6108" w:type="dxa"/>
            <w:vAlign w:val="center"/>
          </w:tcPr>
          <w:p w14:paraId="302A460E">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充分利用现场固定、半固定设施，保证火场用水和灭火剂的充足；</w:t>
            </w:r>
          </w:p>
          <w:p w14:paraId="63E02166">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布置力量对临近储罐进行冷却，防止事态扩大；</w:t>
            </w:r>
          </w:p>
          <w:p w14:paraId="62A2D886">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利用无人机进行侦检、监控，利用灭火机器人灭火处置，或安排人员架设遥控移动炮，撤出后实施远程操控灭火，降低人员安全风险；</w:t>
            </w:r>
          </w:p>
          <w:p w14:paraId="6C43841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根据发生火灾的部位，可采取向罐内注水抬高液位的工艺灭火措施， 注水压力须大于罐内压力，防止水压低于罐压发生物料倒灌；</w:t>
            </w:r>
          </w:p>
          <w:p w14:paraId="2EA6984E">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如火点呈稳定燃烧并已落实工艺措施，应加强对受火势烘烤部位的冷却保护，控制气体燃尽，火势自动熄灭；</w:t>
            </w:r>
          </w:p>
          <w:p w14:paraId="7E1D92CD">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处置中可布置力量对地势低洼处和地沟、地井灌注泡沫，防止泄漏气体聚集引发二次爆炸；</w:t>
            </w:r>
          </w:p>
          <w:p w14:paraId="006351E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eastAsia="宋体"/>
                <w:sz w:val="21"/>
                <w:szCs w:val="21"/>
              </w:rPr>
            </w:pPr>
            <w:r>
              <w:rPr>
                <w:rFonts w:hint="eastAsia" w:ascii="宋体" w:hAnsi="宋体" w:eastAsia="宋体"/>
                <w:sz w:val="21"/>
                <w:szCs w:val="21"/>
              </w:rPr>
              <w:t>在没有采取堵漏措施的情况下，应加强冷却保持稳定燃烧，切忌盲目灭火，如不慎将火扑灭须立即点燃。</w:t>
            </w:r>
          </w:p>
        </w:tc>
      </w:tr>
      <w:tr w14:paraId="6395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jc w:val="center"/>
        </w:trPr>
        <w:tc>
          <w:tcPr>
            <w:tcW w:w="662" w:type="dxa"/>
            <w:vAlign w:val="center"/>
          </w:tcPr>
          <w:p w14:paraId="17A2CB7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5</w:t>
            </w:r>
          </w:p>
        </w:tc>
        <w:tc>
          <w:tcPr>
            <w:tcW w:w="1734" w:type="dxa"/>
            <w:vAlign w:val="center"/>
          </w:tcPr>
          <w:p w14:paraId="37F8AEE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天然气 管道火 灾爆炸</w:t>
            </w:r>
          </w:p>
        </w:tc>
        <w:tc>
          <w:tcPr>
            <w:tcW w:w="6108" w:type="dxa"/>
            <w:vAlign w:val="center"/>
          </w:tcPr>
          <w:p w14:paraId="3D680049">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当天然气管道泄漏起火并维持稳定燃烧时，不应盲目灭火；</w:t>
            </w:r>
          </w:p>
          <w:p w14:paraId="739F0C8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当管道压力显著降低或现场火势发生不稳定变化时，应及时调整灭火方案，防止管道内因降温或产生负压而发生回火及二次爆炸；</w:t>
            </w:r>
          </w:p>
          <w:p w14:paraId="0D4E5976">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eastAsia="宋体"/>
                <w:sz w:val="21"/>
                <w:szCs w:val="21"/>
              </w:rPr>
            </w:pPr>
            <w:r>
              <w:rPr>
                <w:rFonts w:hint="eastAsia" w:ascii="宋体" w:hAnsi="宋体" w:eastAsia="宋体"/>
                <w:sz w:val="21"/>
                <w:szCs w:val="21"/>
              </w:rPr>
              <w:t>在火势得到控制后，应继续检查建筑物内和地下设施内燃气浓度，防止再次发生火灾爆炸。</w:t>
            </w:r>
          </w:p>
        </w:tc>
      </w:tr>
      <w:tr w14:paraId="1178F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jc w:val="center"/>
        </w:trPr>
        <w:tc>
          <w:tcPr>
            <w:tcW w:w="662" w:type="dxa"/>
            <w:vAlign w:val="center"/>
          </w:tcPr>
          <w:p w14:paraId="66BD73E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6</w:t>
            </w:r>
          </w:p>
        </w:tc>
        <w:tc>
          <w:tcPr>
            <w:tcW w:w="1734" w:type="dxa"/>
            <w:vAlign w:val="center"/>
          </w:tcPr>
          <w:p w14:paraId="5EA884D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危险化学品运输工具火灾爆炸</w:t>
            </w:r>
          </w:p>
        </w:tc>
        <w:tc>
          <w:tcPr>
            <w:tcW w:w="6108" w:type="dxa"/>
            <w:vAlign w:val="center"/>
          </w:tcPr>
          <w:p w14:paraId="6BA5AC46">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此类场景多为配合业务关联单位，或协助地方开展救援。</w:t>
            </w:r>
          </w:p>
          <w:p w14:paraId="3E38DBA0">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接警时问清危化品运输介质种类，安排专业救援装备及人员；</w:t>
            </w:r>
          </w:p>
          <w:p w14:paraId="4A0E2C4F">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必要时可拨打全国危险化学品应急咨询电话；</w:t>
            </w:r>
          </w:p>
          <w:p w14:paraId="2AE12801">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及时联系交警部门做好现场交通管制，避免次生事故；</w:t>
            </w:r>
          </w:p>
          <w:p w14:paraId="551DBFFC">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 xml:space="preserve">⑷ </w:t>
            </w:r>
            <w:r>
              <w:rPr>
                <w:rFonts w:ascii="宋体" w:hAnsi="宋体" w:eastAsia="宋体"/>
                <w:sz w:val="21"/>
                <w:szCs w:val="21"/>
              </w:rPr>
              <w:t xml:space="preserve"> </w:t>
            </w:r>
            <w:r>
              <w:rPr>
                <w:rFonts w:hint="eastAsia" w:ascii="宋体" w:hAnsi="宋体" w:eastAsia="宋体"/>
                <w:sz w:val="21"/>
                <w:szCs w:val="21"/>
              </w:rPr>
              <w:t>针对运输车辆残余介质数量，及时联系倒罐车辆进行转运。</w:t>
            </w:r>
          </w:p>
        </w:tc>
      </w:tr>
      <w:tr w14:paraId="0886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0" w:hRule="atLeast"/>
          <w:jc w:val="center"/>
        </w:trPr>
        <w:tc>
          <w:tcPr>
            <w:tcW w:w="662" w:type="dxa"/>
            <w:vAlign w:val="center"/>
          </w:tcPr>
          <w:p w14:paraId="450596E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b/>
                <w:sz w:val="21"/>
                <w:szCs w:val="21"/>
              </w:rPr>
            </w:pPr>
            <w:r>
              <w:rPr>
                <w:rFonts w:ascii="宋体" w:hAnsi="宋体" w:eastAsia="宋体"/>
                <w:b/>
                <w:sz w:val="21"/>
                <w:szCs w:val="21"/>
              </w:rPr>
              <w:t>7</w:t>
            </w:r>
          </w:p>
        </w:tc>
        <w:tc>
          <w:tcPr>
            <w:tcW w:w="1734" w:type="dxa"/>
            <w:vAlign w:val="center"/>
          </w:tcPr>
          <w:p w14:paraId="0CBAEA4B">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宋体" w:hAnsi="宋体" w:eastAsia="宋体"/>
                <w:sz w:val="21"/>
                <w:szCs w:val="21"/>
              </w:rPr>
            </w:pPr>
            <w:r>
              <w:rPr>
                <w:rFonts w:hint="eastAsia" w:ascii="宋体" w:hAnsi="宋体" w:eastAsia="宋体"/>
                <w:sz w:val="21"/>
                <w:szCs w:val="21"/>
              </w:rPr>
              <w:t>特殊危险化学品火灾</w:t>
            </w:r>
          </w:p>
        </w:tc>
        <w:tc>
          <w:tcPr>
            <w:tcW w:w="6108" w:type="dxa"/>
            <w:vAlign w:val="center"/>
          </w:tcPr>
          <w:p w14:paraId="6D67C213">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根据火灾爆炸危险化学品的毒性及划定的危险区域，确定相应的个体防护等级；</w:t>
            </w:r>
          </w:p>
          <w:p w14:paraId="28EBD428">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对于爆炸物品火灾，切忌用沙土盖压，以免增强爆炸物品爆炸时的威力；扑救爆炸物品堆垛时，水流应采用吊射，避免强力水流直接冲击堆垛，以免堆垛倒塌引起再次爆炸；</w:t>
            </w:r>
          </w:p>
          <w:p w14:paraId="6707A415">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对于遇湿易燃物品火灾，严禁用水、泡沫等湿性灭火剂扑救；</w:t>
            </w:r>
          </w:p>
          <w:p w14:paraId="6CD04E14">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扑救毒害品和腐蚀品火灾时，应尽量使用低压水流或雾状水，避免腐蚀品、毒害品溅出；遇酸类或碱类腐蚀品宜调制相应的中和剂稀释中和；</w:t>
            </w:r>
          </w:p>
          <w:p w14:paraId="6ABEF86C">
            <w:pPr>
              <w:keepNext w:val="0"/>
              <w:keepLines w:val="0"/>
              <w:pageBreakBefore w:val="0"/>
              <w:widowControl/>
              <w:kinsoku/>
              <w:wordWrap/>
              <w:overflowPunct/>
              <w:topLinePunct w:val="0"/>
              <w:autoSpaceDE/>
              <w:autoSpaceDN/>
              <w:bidi w:val="0"/>
              <w:adjustRightInd/>
              <w:snapToGrid/>
              <w:spacing w:after="0" w:line="360" w:lineRule="exact"/>
              <w:jc w:val="left"/>
              <w:textAlignment w:val="auto"/>
              <w:rPr>
                <w:rFonts w:ascii="宋体" w:hAnsi="宋体" w:eastAsia="宋体"/>
                <w:sz w:val="21"/>
                <w:szCs w:val="21"/>
              </w:rPr>
            </w:pPr>
            <w:r>
              <w:rPr>
                <w:rFonts w:hint="eastAsia" w:ascii="宋体" w:hAnsi="宋体" w:eastAsia="宋体"/>
                <w:sz w:val="21"/>
                <w:szCs w:val="21"/>
              </w:rPr>
              <w:t>对易升华的易燃固体，其受热所产生的蒸气与空气易形成爆炸性混合物，在密闭空间内易发生爆燃，处置中应不时向燃烧区域上空及周围喷射雾状水，并消除周围一切火源。</w:t>
            </w:r>
          </w:p>
        </w:tc>
      </w:tr>
    </w:tbl>
    <w:p w14:paraId="7C96D318">
      <w:pPr>
        <w:pStyle w:val="2"/>
        <w:rPr>
          <w:rFonts w:hint="eastAsia" w:ascii="黑体" w:hAnsi="宋体" w:eastAsia="黑体"/>
          <w:sz w:val="21"/>
          <w:szCs w:val="21"/>
          <w:lang w:val="en-US" w:eastAsia="zh-CN"/>
        </w:rPr>
      </w:pPr>
      <w:bookmarkStart w:id="61" w:name="_Toc16767"/>
      <w:bookmarkStart w:id="62" w:name="_Toc10240"/>
      <w:bookmarkStart w:id="63" w:name="_Toc20516"/>
      <w:bookmarkStart w:id="64" w:name="_Toc8601"/>
      <w:bookmarkStart w:id="65" w:name="_Toc15899"/>
      <w:r>
        <w:rPr>
          <w:rFonts w:hint="eastAsia" w:ascii="黑体" w:hAnsi="宋体" w:eastAsia="黑体"/>
          <w:sz w:val="21"/>
          <w:szCs w:val="21"/>
          <w:lang w:val="en-US" w:eastAsia="zh-CN"/>
        </w:rPr>
        <w:t>6  后期处置</w:t>
      </w:r>
      <w:bookmarkEnd w:id="61"/>
      <w:bookmarkEnd w:id="62"/>
      <w:bookmarkEnd w:id="63"/>
      <w:bookmarkEnd w:id="64"/>
      <w:bookmarkEnd w:id="65"/>
    </w:p>
    <w:p w14:paraId="445817B2">
      <w:pPr>
        <w:spacing w:after="0" w:line="360" w:lineRule="exact"/>
        <w:ind w:firstLine="420" w:firstLineChars="200"/>
        <w:rPr>
          <w:rFonts w:hint="eastAsia" w:ascii="宋体" w:hAnsi="宋体" w:cs="宋体"/>
          <w:sz w:val="21"/>
          <w:szCs w:val="21"/>
          <w:lang w:val="en-US" w:eastAsia="zh-CN"/>
        </w:rPr>
      </w:pPr>
      <w:r>
        <w:rPr>
          <w:rFonts w:hint="eastAsia" w:ascii="宋体" w:hAnsi="宋体" w:cs="宋体"/>
          <w:spacing w:val="0"/>
          <w:sz w:val="21"/>
          <w:szCs w:val="21"/>
          <w:lang w:val="en-US" w:eastAsia="zh-CN"/>
        </w:rPr>
        <w:t>重大危险源事故</w:t>
      </w:r>
      <w:r>
        <w:rPr>
          <w:rFonts w:hint="eastAsia" w:ascii="宋体" w:hAnsi="宋体" w:eastAsia="宋体" w:cs="宋体"/>
          <w:spacing w:val="0"/>
          <w:sz w:val="21"/>
          <w:szCs w:val="21"/>
        </w:rPr>
        <w:t>后期处置按照《突发事件总体应急预案》执行。</w:t>
      </w:r>
    </w:p>
    <w:p w14:paraId="46B64539">
      <w:pPr>
        <w:pStyle w:val="2"/>
        <w:rPr>
          <w:rFonts w:hint="eastAsia" w:ascii="黑体" w:hAnsi="宋体" w:eastAsia="黑体"/>
          <w:bCs w:val="0"/>
          <w:sz w:val="21"/>
          <w:szCs w:val="21"/>
          <w:lang w:val="en-US" w:eastAsia="zh-CN"/>
        </w:rPr>
      </w:pPr>
      <w:bookmarkStart w:id="66" w:name="_Toc8779"/>
      <w:bookmarkStart w:id="67" w:name="_Toc25210"/>
      <w:bookmarkStart w:id="68" w:name="_Toc22243"/>
      <w:bookmarkStart w:id="69" w:name="_Toc31334"/>
      <w:bookmarkStart w:id="70" w:name="_Toc21491"/>
      <w:bookmarkStart w:id="71" w:name="_Toc326"/>
      <w:bookmarkStart w:id="72" w:name="_Toc2557"/>
      <w:bookmarkStart w:id="73" w:name="_Toc10233"/>
      <w:r>
        <w:rPr>
          <w:rFonts w:hint="eastAsia" w:ascii="黑体" w:hAnsi="宋体" w:eastAsia="黑体"/>
          <w:sz w:val="21"/>
          <w:szCs w:val="21"/>
          <w:lang w:val="en-US" w:eastAsia="zh-CN"/>
        </w:rPr>
        <w:t>7</w:t>
      </w:r>
      <w:r>
        <w:rPr>
          <w:rFonts w:ascii="黑体" w:hAnsi="宋体" w:eastAsia="黑体"/>
          <w:sz w:val="21"/>
          <w:szCs w:val="21"/>
        </w:rPr>
        <w:t xml:space="preserve"> </w:t>
      </w:r>
      <w:r>
        <w:rPr>
          <w:rFonts w:hint="eastAsia" w:ascii="黑体" w:hAnsi="宋体" w:eastAsia="黑体"/>
          <w:sz w:val="21"/>
          <w:szCs w:val="21"/>
        </w:rPr>
        <w:t xml:space="preserve"> 附</w:t>
      </w:r>
      <w:r>
        <w:rPr>
          <w:rFonts w:hint="eastAsia" w:ascii="黑体" w:hAnsi="宋体" w:eastAsia="黑体"/>
          <w:sz w:val="21"/>
          <w:szCs w:val="21"/>
          <w:lang w:val="en-US" w:eastAsia="zh-CN"/>
        </w:rPr>
        <w:t>则</w:t>
      </w:r>
      <w:bookmarkEnd w:id="66"/>
      <w:bookmarkEnd w:id="67"/>
      <w:bookmarkEnd w:id="68"/>
      <w:bookmarkEnd w:id="69"/>
      <w:bookmarkEnd w:id="70"/>
      <w:bookmarkEnd w:id="71"/>
      <w:bookmarkEnd w:id="72"/>
      <w:bookmarkEnd w:id="73"/>
    </w:p>
    <w:p w14:paraId="7EA33ADF">
      <w:pPr>
        <w:adjustRightInd w:val="0"/>
        <w:snapToGrid w:val="0"/>
        <w:spacing w:before="0" w:after="0" w:line="360" w:lineRule="exact"/>
        <w:ind w:left="0"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本预案由安全环保管理部负责解释。</w:t>
      </w:r>
    </w:p>
    <w:p w14:paraId="3798ADB7">
      <w:pPr>
        <w:adjustRightInd w:val="0"/>
        <w:snapToGrid w:val="0"/>
        <w:spacing w:before="0" w:after="0" w:line="360" w:lineRule="exact"/>
        <w:ind w:firstLine="420" w:firstLineChars="200"/>
        <w:rPr>
          <w:rFonts w:hint="eastAsia" w:ascii="Calibri" w:hAnsi="Calibri" w:eastAsia="宋体" w:cs="Times New Roman"/>
          <w:sz w:val="21"/>
          <w:szCs w:val="21"/>
        </w:rPr>
      </w:pPr>
      <w:r>
        <w:rPr>
          <w:rFonts w:hint="eastAsia" w:ascii="Calibri" w:hAnsi="Calibri" w:eastAsia="宋体" w:cs="Times New Roman"/>
          <w:spacing w:val="0"/>
          <w:sz w:val="21"/>
          <w:szCs w:val="21"/>
        </w:rPr>
        <w:t>本预案自发布之日起实施，《青岛石化公司</w:t>
      </w:r>
      <w:r>
        <w:rPr>
          <w:rFonts w:hint="eastAsia" w:cs="Times New Roman"/>
          <w:spacing w:val="0"/>
          <w:sz w:val="21"/>
          <w:szCs w:val="21"/>
          <w:lang w:val="en-US" w:eastAsia="zh-CN"/>
        </w:rPr>
        <w:t>重大危险源</w:t>
      </w:r>
      <w:r>
        <w:rPr>
          <w:rFonts w:hint="eastAsia" w:ascii="Calibri" w:hAnsi="Calibri" w:eastAsia="宋体" w:cs="Times New Roman"/>
          <w:spacing w:val="0"/>
          <w:sz w:val="21"/>
          <w:szCs w:val="21"/>
        </w:rPr>
        <w:t>事故</w:t>
      </w:r>
      <w:r>
        <w:rPr>
          <w:rFonts w:hint="eastAsia" w:cs="Times New Roman"/>
          <w:spacing w:val="0"/>
          <w:sz w:val="21"/>
          <w:szCs w:val="21"/>
          <w:lang w:val="en-US" w:eastAsia="zh-CN"/>
        </w:rPr>
        <w:t>专项</w:t>
      </w:r>
      <w:r>
        <w:rPr>
          <w:rFonts w:hint="eastAsia" w:ascii="Calibri" w:hAnsi="Calibri" w:eastAsia="宋体" w:cs="Times New Roman"/>
          <w:spacing w:val="0"/>
          <w:sz w:val="21"/>
          <w:szCs w:val="21"/>
        </w:rPr>
        <w:t>应急预案》（制度编号：</w:t>
      </w:r>
      <w:r>
        <w:rPr>
          <w:rFonts w:hint="eastAsia" w:ascii="Calibri" w:hAnsi="Calibri" w:eastAsia="宋体" w:cs="Times New Roman"/>
          <w:sz w:val="21"/>
          <w:szCs w:val="21"/>
        </w:rPr>
        <w:t>QDSH-T4.06.11.046.2023</w:t>
      </w:r>
      <w:r>
        <w:rPr>
          <w:rFonts w:hint="eastAsia" w:ascii="Calibri" w:hAnsi="Calibri" w:eastAsia="宋体" w:cs="Times New Roman"/>
          <w:spacing w:val="0"/>
          <w:sz w:val="21"/>
          <w:szCs w:val="21"/>
        </w:rPr>
        <w:t>）同时废止。</w:t>
      </w:r>
    </w:p>
    <w:p w14:paraId="48B6A445">
      <w:pPr>
        <w:pStyle w:val="2"/>
        <w:rPr>
          <w:rFonts w:hint="eastAsia" w:ascii="黑体" w:hAnsi="宋体" w:eastAsia="黑体"/>
          <w:sz w:val="21"/>
          <w:szCs w:val="21"/>
        </w:rPr>
      </w:pPr>
      <w:bookmarkStart w:id="74" w:name="_Toc13090"/>
      <w:bookmarkStart w:id="75" w:name="_Toc26940"/>
      <w:bookmarkStart w:id="76" w:name="_Toc14020"/>
      <w:bookmarkStart w:id="77" w:name="_Toc4407"/>
      <w:bookmarkStart w:id="78" w:name="_Toc47971032"/>
      <w:bookmarkStart w:id="79" w:name="_Toc4344"/>
      <w:bookmarkStart w:id="80" w:name="_Toc14355"/>
      <w:bookmarkStart w:id="81" w:name="_Toc128491070"/>
      <w:r>
        <w:rPr>
          <w:rFonts w:hint="eastAsia" w:eastAsia="黑体"/>
          <w:bCs/>
          <w:sz w:val="21"/>
          <w:szCs w:val="21"/>
          <w:lang w:val="en-US" w:eastAsia="zh-CN"/>
        </w:rPr>
        <w:t>8</w:t>
      </w:r>
      <w:r>
        <w:rPr>
          <w:rFonts w:ascii="黑体" w:hAnsi="宋体" w:eastAsia="黑体"/>
          <w:sz w:val="21"/>
          <w:szCs w:val="21"/>
        </w:rPr>
        <w:t xml:space="preserve"> </w:t>
      </w:r>
      <w:r>
        <w:rPr>
          <w:rFonts w:hint="eastAsia" w:ascii="黑体" w:hAnsi="宋体" w:eastAsia="黑体"/>
          <w:sz w:val="21"/>
          <w:szCs w:val="21"/>
        </w:rPr>
        <w:t xml:space="preserve"> 附件</w:t>
      </w:r>
      <w:bookmarkEnd w:id="74"/>
      <w:bookmarkEnd w:id="75"/>
      <w:bookmarkEnd w:id="76"/>
      <w:bookmarkEnd w:id="77"/>
      <w:bookmarkEnd w:id="78"/>
      <w:bookmarkEnd w:id="79"/>
      <w:bookmarkEnd w:id="80"/>
      <w:bookmarkEnd w:id="81"/>
    </w:p>
    <w:p w14:paraId="11A302BB">
      <w:pPr>
        <w:pStyle w:val="6"/>
        <w:spacing w:after="0" w:line="360" w:lineRule="exact"/>
        <w:ind w:firstLine="420" w:firstLineChars="200"/>
        <w:rPr>
          <w:rFonts w:hint="eastAsia"/>
          <w:szCs w:val="21"/>
        </w:rPr>
      </w:pPr>
      <w:r>
        <w:rPr>
          <w:rFonts w:hint="eastAsia"/>
          <w:szCs w:val="21"/>
        </w:rPr>
        <w:t>附件1  重大危险源清单</w:t>
      </w:r>
    </w:p>
    <w:p w14:paraId="326BA091">
      <w:pPr>
        <w:pStyle w:val="6"/>
        <w:spacing w:after="0" w:line="360" w:lineRule="exact"/>
        <w:ind w:firstLine="420" w:firstLineChars="200"/>
        <w:rPr>
          <w:rFonts w:hint="eastAsia"/>
          <w:szCs w:val="21"/>
        </w:rPr>
      </w:pPr>
      <w:r>
        <w:rPr>
          <w:rFonts w:hint="eastAsia"/>
          <w:szCs w:val="21"/>
        </w:rPr>
        <w:t>附件2  危险化学品辨识</w:t>
      </w:r>
    </w:p>
    <w:p w14:paraId="7861A36A">
      <w:pPr>
        <w:pStyle w:val="6"/>
        <w:spacing w:after="0" w:line="360" w:lineRule="exact"/>
        <w:ind w:firstLine="420" w:firstLineChars="200"/>
        <w:rPr>
          <w:rFonts w:hint="eastAsia"/>
          <w:szCs w:val="21"/>
        </w:rPr>
      </w:pPr>
      <w:r>
        <w:rPr>
          <w:rFonts w:hint="eastAsia"/>
          <w:szCs w:val="21"/>
        </w:rPr>
        <w:t>附件3  可能受事故影响的周边场所、人员情况</w:t>
      </w:r>
    </w:p>
    <w:p w14:paraId="516DF50A">
      <w:pPr>
        <w:pStyle w:val="6"/>
        <w:spacing w:after="0" w:line="360" w:lineRule="exact"/>
        <w:ind w:firstLine="420" w:firstLineChars="200"/>
        <w:rPr>
          <w:rFonts w:hint="eastAsia"/>
          <w:szCs w:val="21"/>
        </w:rPr>
      </w:pPr>
      <w:r>
        <w:rPr>
          <w:rFonts w:hint="eastAsia"/>
          <w:szCs w:val="21"/>
        </w:rPr>
        <w:t>附件4  定量风险评估</w:t>
      </w:r>
    </w:p>
    <w:p w14:paraId="0DB46EF6">
      <w:pPr>
        <w:pStyle w:val="6"/>
        <w:adjustRightInd w:val="0"/>
        <w:snapToGrid w:val="0"/>
        <w:spacing w:after="0" w:line="360" w:lineRule="exact"/>
        <w:ind w:firstLine="420" w:firstLineChars="200"/>
        <w:rPr>
          <w:rFonts w:hint="eastAsia"/>
          <w:szCs w:val="21"/>
          <w:lang w:val="en-US" w:eastAsia="zh-CN"/>
        </w:rPr>
      </w:pPr>
      <w:r>
        <w:rPr>
          <w:rFonts w:hint="eastAsia"/>
          <w:szCs w:val="21"/>
          <w:lang w:val="en-US" w:eastAsia="zh-CN"/>
        </w:rPr>
        <w:br w:type="page"/>
      </w:r>
    </w:p>
    <w:p w14:paraId="480C9E2B">
      <w:pPr>
        <w:spacing w:before="91" w:line="218" w:lineRule="auto"/>
        <w:ind w:left="51"/>
        <w:rPr>
          <w:rFonts w:hint="eastAsia" w:ascii="华文中宋" w:hAnsi="华文中宋" w:eastAsia="华文中宋" w:cs="华文中宋"/>
          <w:sz w:val="24"/>
          <w:szCs w:val="24"/>
          <w:lang w:val="en-US" w:eastAsia="zh-CN"/>
        </w:rPr>
      </w:pPr>
      <w:r>
        <w:rPr>
          <w:rFonts w:hint="eastAsia" w:ascii="华文中宋" w:hAnsi="华文中宋" w:eastAsia="华文中宋" w:cs="华文中宋"/>
          <w:spacing w:val="-15"/>
          <w:sz w:val="24"/>
          <w:szCs w:val="24"/>
        </w:rPr>
        <w:t>附件</w:t>
      </w:r>
      <w:r>
        <w:rPr>
          <w:rFonts w:hint="eastAsia" w:ascii="华文中宋" w:hAnsi="华文中宋" w:eastAsia="华文中宋" w:cs="华文中宋"/>
          <w:spacing w:val="-15"/>
          <w:sz w:val="24"/>
          <w:szCs w:val="24"/>
          <w:lang w:val="en-US" w:eastAsia="zh-CN"/>
        </w:rPr>
        <w:t>1</w:t>
      </w:r>
    </w:p>
    <w:p w14:paraId="1B3D6831">
      <w:pPr>
        <w:spacing w:before="101" w:line="223" w:lineRule="auto"/>
        <w:ind w:left="45"/>
        <w:jc w:val="center"/>
        <w:rPr>
          <w:rFonts w:hint="eastAsia" w:ascii="华文中宋" w:hAnsi="华文中宋" w:eastAsia="华文中宋" w:cs="华文中宋"/>
          <w:spacing w:val="7"/>
          <w:sz w:val="32"/>
          <w:szCs w:val="32"/>
        </w:rPr>
      </w:pPr>
      <w:r>
        <w:rPr>
          <w:rFonts w:hint="eastAsia" w:ascii="华文中宋" w:hAnsi="华文中宋" w:eastAsia="华文中宋" w:cs="华文中宋"/>
          <w:spacing w:val="7"/>
          <w:sz w:val="32"/>
          <w:szCs w:val="32"/>
        </w:rPr>
        <w:t>重大危险源清单</w:t>
      </w:r>
    </w:p>
    <w:tbl>
      <w:tblPr>
        <w:tblStyle w:val="14"/>
        <w:tblW w:w="8504" w:type="dxa"/>
        <w:jc w:val="center"/>
        <w:tblLayout w:type="fixed"/>
        <w:tblCellMar>
          <w:top w:w="0" w:type="dxa"/>
          <w:left w:w="108" w:type="dxa"/>
          <w:bottom w:w="0" w:type="dxa"/>
          <w:right w:w="108" w:type="dxa"/>
        </w:tblCellMar>
      </w:tblPr>
      <w:tblGrid>
        <w:gridCol w:w="1607"/>
        <w:gridCol w:w="1575"/>
        <w:gridCol w:w="1050"/>
        <w:gridCol w:w="1115"/>
        <w:gridCol w:w="3157"/>
      </w:tblGrid>
      <w:tr w14:paraId="46D683BB">
        <w:tblPrEx>
          <w:tblCellMar>
            <w:top w:w="0" w:type="dxa"/>
            <w:left w:w="108" w:type="dxa"/>
            <w:bottom w:w="0" w:type="dxa"/>
            <w:right w:w="108" w:type="dxa"/>
          </w:tblCellMar>
        </w:tblPrEx>
        <w:trPr>
          <w:trHeight w:val="312" w:hRule="atLeast"/>
          <w:tblHeader/>
          <w:jc w:val="center"/>
        </w:trPr>
        <w:tc>
          <w:tcPr>
            <w:tcW w:w="9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23769">
            <w:pPr>
              <w:keepNext w:val="0"/>
              <w:keepLines w:val="0"/>
              <w:pageBreakBefore w:val="0"/>
              <w:widowControl/>
              <w:kinsoku/>
              <w:wordWrap/>
              <w:overflowPunct/>
              <w:topLinePunct w:val="0"/>
              <w:autoSpaceDE/>
              <w:autoSpaceDN/>
              <w:bidi w:val="0"/>
              <w:adjustRightInd/>
              <w:snapToGrid/>
              <w:spacing w:after="0" w:line="360" w:lineRule="exact"/>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重大危险源单元名称</w:t>
            </w:r>
          </w:p>
        </w:tc>
        <w:tc>
          <w:tcPr>
            <w:tcW w:w="9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6D235">
            <w:pPr>
              <w:keepNext w:val="0"/>
              <w:keepLines w:val="0"/>
              <w:pageBreakBefore w:val="0"/>
              <w:widowControl/>
              <w:kinsoku/>
              <w:wordWrap/>
              <w:overflowPunct/>
              <w:topLinePunct w:val="0"/>
              <w:autoSpaceDE/>
              <w:autoSpaceDN/>
              <w:bidi w:val="0"/>
              <w:adjustRightInd/>
              <w:snapToGrid/>
              <w:spacing w:after="0" w:line="360" w:lineRule="exact"/>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涉及重点监管化工工艺情况</w:t>
            </w:r>
          </w:p>
        </w:tc>
        <w:tc>
          <w:tcPr>
            <w:tcW w:w="6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B1FB7">
            <w:pPr>
              <w:keepNext w:val="0"/>
              <w:keepLines w:val="0"/>
              <w:pageBreakBefore w:val="0"/>
              <w:widowControl/>
              <w:kinsoku/>
              <w:wordWrap/>
              <w:overflowPunct/>
              <w:topLinePunct w:val="0"/>
              <w:autoSpaceDE/>
              <w:autoSpaceDN/>
              <w:bidi w:val="0"/>
              <w:adjustRightInd/>
              <w:snapToGrid/>
              <w:spacing w:after="0" w:line="360" w:lineRule="exact"/>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R值</w:t>
            </w:r>
          </w:p>
        </w:tc>
        <w:tc>
          <w:tcPr>
            <w:tcW w:w="6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AD8C68">
            <w:pPr>
              <w:keepNext w:val="0"/>
              <w:keepLines w:val="0"/>
              <w:pageBreakBefore w:val="0"/>
              <w:widowControl/>
              <w:kinsoku/>
              <w:wordWrap/>
              <w:overflowPunct/>
              <w:topLinePunct w:val="0"/>
              <w:autoSpaceDE/>
              <w:autoSpaceDN/>
              <w:bidi w:val="0"/>
              <w:adjustRightInd/>
              <w:snapToGrid/>
              <w:spacing w:after="0" w:line="360" w:lineRule="exact"/>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重大危险源级别</w:t>
            </w:r>
          </w:p>
        </w:tc>
        <w:tc>
          <w:tcPr>
            <w:tcW w:w="18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61716D">
            <w:pPr>
              <w:keepNext w:val="0"/>
              <w:keepLines w:val="0"/>
              <w:pageBreakBefore w:val="0"/>
              <w:widowControl/>
              <w:kinsoku/>
              <w:wordWrap/>
              <w:overflowPunct/>
              <w:topLinePunct w:val="0"/>
              <w:autoSpaceDE/>
              <w:autoSpaceDN/>
              <w:bidi w:val="0"/>
              <w:adjustRightInd/>
              <w:snapToGrid/>
              <w:spacing w:after="0" w:line="360" w:lineRule="exact"/>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主要危化品种类及最大存量</w:t>
            </w:r>
          </w:p>
        </w:tc>
      </w:tr>
      <w:tr w14:paraId="2384FDE9">
        <w:tblPrEx>
          <w:tblCellMar>
            <w:top w:w="0" w:type="dxa"/>
            <w:left w:w="108" w:type="dxa"/>
            <w:bottom w:w="0" w:type="dxa"/>
            <w:right w:w="108" w:type="dxa"/>
          </w:tblCellMar>
        </w:tblPrEx>
        <w:trPr>
          <w:trHeight w:val="576" w:hRule="atLeast"/>
          <w:jc w:val="center"/>
        </w:trPr>
        <w:tc>
          <w:tcPr>
            <w:tcW w:w="944" w:type="pct"/>
            <w:vMerge w:val="continue"/>
            <w:tcBorders>
              <w:top w:val="single" w:color="000000" w:sz="4" w:space="0"/>
              <w:left w:val="single" w:color="000000" w:sz="4" w:space="0"/>
              <w:bottom w:val="single" w:color="000000" w:sz="4" w:space="0"/>
              <w:right w:val="single" w:color="000000" w:sz="4" w:space="0"/>
            </w:tcBorders>
            <w:vAlign w:val="center"/>
          </w:tcPr>
          <w:p w14:paraId="2B1E4ADC">
            <w:pPr>
              <w:keepNext w:val="0"/>
              <w:keepLines w:val="0"/>
              <w:pageBreakBefore w:val="0"/>
              <w:widowControl/>
              <w:kinsoku/>
              <w:wordWrap/>
              <w:overflowPunct/>
              <w:topLinePunct w:val="0"/>
              <w:autoSpaceDE/>
              <w:autoSpaceDN/>
              <w:bidi w:val="0"/>
              <w:adjustRightInd/>
              <w:snapToGrid/>
              <w:spacing w:after="0" w:line="360" w:lineRule="exact"/>
              <w:jc w:val="left"/>
              <w:rPr>
                <w:rFonts w:ascii="宋体" w:hAnsi="宋体" w:eastAsia="宋体" w:cs="宋体"/>
                <w:b/>
                <w:bCs/>
                <w:color w:val="000000"/>
                <w:kern w:val="0"/>
                <w:sz w:val="21"/>
                <w:szCs w:val="21"/>
              </w:rPr>
            </w:pPr>
          </w:p>
        </w:tc>
        <w:tc>
          <w:tcPr>
            <w:tcW w:w="926" w:type="pct"/>
            <w:vMerge w:val="continue"/>
            <w:tcBorders>
              <w:top w:val="single" w:color="000000" w:sz="4" w:space="0"/>
              <w:left w:val="single" w:color="000000" w:sz="4" w:space="0"/>
              <w:bottom w:val="single" w:color="000000" w:sz="4" w:space="0"/>
              <w:right w:val="single" w:color="000000" w:sz="4" w:space="0"/>
            </w:tcBorders>
            <w:vAlign w:val="center"/>
          </w:tcPr>
          <w:p w14:paraId="3309AB61">
            <w:pPr>
              <w:keepNext w:val="0"/>
              <w:keepLines w:val="0"/>
              <w:pageBreakBefore w:val="0"/>
              <w:widowControl/>
              <w:kinsoku/>
              <w:wordWrap/>
              <w:overflowPunct/>
              <w:topLinePunct w:val="0"/>
              <w:autoSpaceDE/>
              <w:autoSpaceDN/>
              <w:bidi w:val="0"/>
              <w:adjustRightInd/>
              <w:snapToGrid/>
              <w:spacing w:after="0" w:line="360" w:lineRule="exact"/>
              <w:jc w:val="left"/>
              <w:rPr>
                <w:rFonts w:ascii="宋体" w:hAnsi="宋体" w:eastAsia="宋体" w:cs="宋体"/>
                <w:b/>
                <w:bCs/>
                <w:color w:val="000000"/>
                <w:kern w:val="0"/>
                <w:sz w:val="21"/>
                <w:szCs w:val="21"/>
              </w:rPr>
            </w:pPr>
          </w:p>
        </w:tc>
        <w:tc>
          <w:tcPr>
            <w:tcW w:w="617" w:type="pct"/>
            <w:vMerge w:val="continue"/>
            <w:tcBorders>
              <w:top w:val="single" w:color="000000" w:sz="4" w:space="0"/>
              <w:left w:val="single" w:color="000000" w:sz="4" w:space="0"/>
              <w:bottom w:val="single" w:color="000000" w:sz="4" w:space="0"/>
              <w:right w:val="single" w:color="000000" w:sz="4" w:space="0"/>
            </w:tcBorders>
            <w:vAlign w:val="center"/>
          </w:tcPr>
          <w:p w14:paraId="45B04E87">
            <w:pPr>
              <w:keepNext w:val="0"/>
              <w:keepLines w:val="0"/>
              <w:pageBreakBefore w:val="0"/>
              <w:widowControl/>
              <w:kinsoku/>
              <w:wordWrap/>
              <w:overflowPunct/>
              <w:topLinePunct w:val="0"/>
              <w:autoSpaceDE/>
              <w:autoSpaceDN/>
              <w:bidi w:val="0"/>
              <w:adjustRightInd/>
              <w:snapToGrid/>
              <w:spacing w:after="0" w:line="360" w:lineRule="exact"/>
              <w:jc w:val="left"/>
              <w:rPr>
                <w:rFonts w:ascii="宋体" w:hAnsi="宋体" w:eastAsia="宋体" w:cs="宋体"/>
                <w:b/>
                <w:bCs/>
                <w:color w:val="000000"/>
                <w:kern w:val="0"/>
                <w:sz w:val="21"/>
                <w:szCs w:val="21"/>
              </w:rPr>
            </w:pPr>
          </w:p>
        </w:tc>
        <w:tc>
          <w:tcPr>
            <w:tcW w:w="655" w:type="pct"/>
            <w:vMerge w:val="continue"/>
            <w:tcBorders>
              <w:top w:val="single" w:color="000000" w:sz="4" w:space="0"/>
              <w:left w:val="single" w:color="000000" w:sz="4" w:space="0"/>
              <w:bottom w:val="single" w:color="000000" w:sz="4" w:space="0"/>
              <w:right w:val="single" w:color="000000" w:sz="4" w:space="0"/>
            </w:tcBorders>
            <w:vAlign w:val="center"/>
          </w:tcPr>
          <w:p w14:paraId="4A8C016D">
            <w:pPr>
              <w:keepNext w:val="0"/>
              <w:keepLines w:val="0"/>
              <w:pageBreakBefore w:val="0"/>
              <w:widowControl/>
              <w:kinsoku/>
              <w:wordWrap/>
              <w:overflowPunct/>
              <w:topLinePunct w:val="0"/>
              <w:autoSpaceDE/>
              <w:autoSpaceDN/>
              <w:bidi w:val="0"/>
              <w:adjustRightInd/>
              <w:snapToGrid/>
              <w:spacing w:after="0" w:line="360" w:lineRule="exact"/>
              <w:jc w:val="left"/>
              <w:rPr>
                <w:rFonts w:ascii="宋体" w:hAnsi="宋体" w:eastAsia="宋体" w:cs="宋体"/>
                <w:b/>
                <w:bCs/>
                <w:color w:val="000000"/>
                <w:kern w:val="0"/>
                <w:sz w:val="21"/>
                <w:szCs w:val="21"/>
              </w:rPr>
            </w:pPr>
          </w:p>
        </w:tc>
        <w:tc>
          <w:tcPr>
            <w:tcW w:w="1856" w:type="pct"/>
            <w:vMerge w:val="continue"/>
            <w:tcBorders>
              <w:top w:val="single" w:color="000000" w:sz="4" w:space="0"/>
              <w:left w:val="single" w:color="000000" w:sz="4" w:space="0"/>
              <w:bottom w:val="single" w:color="000000" w:sz="4" w:space="0"/>
              <w:right w:val="single" w:color="000000" w:sz="4" w:space="0"/>
            </w:tcBorders>
            <w:vAlign w:val="center"/>
          </w:tcPr>
          <w:p w14:paraId="08E6F922">
            <w:pPr>
              <w:keepNext w:val="0"/>
              <w:keepLines w:val="0"/>
              <w:pageBreakBefore w:val="0"/>
              <w:widowControl/>
              <w:kinsoku/>
              <w:wordWrap/>
              <w:overflowPunct/>
              <w:topLinePunct w:val="0"/>
              <w:autoSpaceDE/>
              <w:autoSpaceDN/>
              <w:bidi w:val="0"/>
              <w:adjustRightInd/>
              <w:snapToGrid/>
              <w:spacing w:after="0" w:line="360" w:lineRule="exact"/>
              <w:jc w:val="left"/>
              <w:rPr>
                <w:rFonts w:ascii="宋体" w:hAnsi="宋体" w:eastAsia="宋体" w:cs="宋体"/>
                <w:b/>
                <w:bCs/>
                <w:color w:val="000000"/>
                <w:kern w:val="0"/>
                <w:sz w:val="21"/>
                <w:szCs w:val="21"/>
              </w:rPr>
            </w:pPr>
          </w:p>
        </w:tc>
      </w:tr>
      <w:tr w14:paraId="018FDFF1">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44C7D">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301#-306#液化气罐区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A1CDE">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BAE1F">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439.2</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1288">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一级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C29BC">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丙烯1000吨，丙烷1160吨，液化石油气1160吨</w:t>
            </w:r>
          </w:p>
        </w:tc>
      </w:tr>
      <w:tr w14:paraId="4A96632E">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501BD">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307#-312#液化气罐区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47F0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F7EC5">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578.4</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B577A">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一级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A2110">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丙烯1000吨，液化石油气4640吨</w:t>
            </w:r>
          </w:p>
        </w:tc>
      </w:tr>
      <w:tr w14:paraId="20A8D961">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9DBF1">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511#-520#汽油和石脑油罐区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528AF">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FF7C6">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372</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67E9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一级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1260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汽油30000吨，石脑油7200吨</w:t>
            </w:r>
          </w:p>
        </w:tc>
      </w:tr>
      <w:tr w14:paraId="2E02ACEE">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665A">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701#-707#轻油罐区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DB09E">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938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153.9</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70E02">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一级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8A63F">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石脑油8640吨，汽油6750吨</w:t>
            </w:r>
          </w:p>
        </w:tc>
      </w:tr>
      <w:tr w14:paraId="74B3505E">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A9881">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001#-004#原油罐区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E5210">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BC4EC">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75</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CBDFA">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一级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6A162">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原油55755吨</w:t>
            </w:r>
          </w:p>
        </w:tc>
      </w:tr>
      <w:tr w14:paraId="205EAB1D">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2B70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005#-006#原油罐区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8B9F2">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E3E55">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98.4</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E7BB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二级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A3AA9">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原油47790吨</w:t>
            </w:r>
          </w:p>
        </w:tc>
      </w:tr>
      <w:tr w14:paraId="25CD380D">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9EAF0">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521#汽油罐区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B0A4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C90D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51.9</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DB0D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二级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96B93">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汽油7500吨</w:t>
            </w:r>
          </w:p>
        </w:tc>
      </w:tr>
      <w:tr w14:paraId="3A415AC0">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1B6C5">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801#-806#芳烃罐区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CF87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80AA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57.035</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885E2">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二级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CAA37">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苯1740吨，石脑油2880吨</w:t>
            </w:r>
          </w:p>
        </w:tc>
      </w:tr>
      <w:tr w14:paraId="24F350FF">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00793">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708#-710#轻油罐区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0BEF">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B56B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20.5212</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D9F8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二级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04ABD">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汽油3750吨，石脑油1440吨</w:t>
            </w:r>
          </w:p>
        </w:tc>
      </w:tr>
      <w:tr w14:paraId="43A07C36">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1789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7万吨/年聚丙烯装置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5A155">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聚合工艺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32C8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30</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2CFFC">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二级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695A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丙烯167.41吨，三乙基铝3.4吨，氢气0.02吨</w:t>
            </w:r>
          </w:p>
        </w:tc>
      </w:tr>
      <w:tr w14:paraId="498932A6">
        <w:tblPrEx>
          <w:tblCellMar>
            <w:top w:w="0" w:type="dxa"/>
            <w:left w:w="108" w:type="dxa"/>
            <w:bottom w:w="0" w:type="dxa"/>
            <w:right w:w="108" w:type="dxa"/>
          </w:tblCellMar>
        </w:tblPrEx>
        <w:trPr>
          <w:trHeight w:val="157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BF1F">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140万吨/年重油催化裂化装置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F6789">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裂解（裂化）工艺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FDA5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111.51</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EB72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三级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0596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柴油23.06吨，干气7.37吨，硫化氢0.38吨，汽油330.73吨，液化气88.58吨</w:t>
            </w:r>
          </w:p>
        </w:tc>
      </w:tr>
      <w:tr w14:paraId="57E2F2D4">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EA03">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601#-602#次汽罐区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B17D7">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4222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95.58</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3AC2F">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三级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30887">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汽油3000吨</w:t>
            </w:r>
          </w:p>
        </w:tc>
      </w:tr>
      <w:tr w14:paraId="0CCA95AC">
        <w:tblPrEx>
          <w:tblCellMar>
            <w:top w:w="0" w:type="dxa"/>
            <w:left w:w="108" w:type="dxa"/>
            <w:bottom w:w="0" w:type="dxa"/>
            <w:right w:w="108" w:type="dxa"/>
          </w:tblCellMar>
        </w:tblPrEx>
        <w:trPr>
          <w:trHeight w:val="8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CF872">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15万吨/年气分装置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03381">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48529">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37.5768</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78750">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三级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E3429">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液化石油气19.06吨，丙烷104.12吨，乙烷11.38吨，丙烯24.36吨</w:t>
            </w:r>
          </w:p>
        </w:tc>
      </w:tr>
      <w:tr w14:paraId="2F7268AC">
        <w:tblPrEx>
          <w:tblCellMar>
            <w:top w:w="0" w:type="dxa"/>
            <w:left w:w="108" w:type="dxa"/>
            <w:bottom w:w="0" w:type="dxa"/>
            <w:right w:w="108" w:type="dxa"/>
          </w:tblCellMar>
        </w:tblPrEx>
        <w:trPr>
          <w:trHeight w:val="928"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E20B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20万吨/年气分装置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FC1A9">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D554B">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39.5088</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2CEC">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三级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5408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液化石油气40.8吨，丙烷105.05吨，乙烷11.07吨，丙烯26吨</w:t>
            </w:r>
          </w:p>
        </w:tc>
      </w:tr>
      <w:tr w14:paraId="0D20D479">
        <w:tblPrEx>
          <w:tblCellMar>
            <w:top w:w="0" w:type="dxa"/>
            <w:left w:w="108" w:type="dxa"/>
            <w:bottom w:w="0" w:type="dxa"/>
            <w:right w:w="108" w:type="dxa"/>
          </w:tblCellMar>
        </w:tblPrEx>
        <w:trPr>
          <w:trHeight w:val="576"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7BA94">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MTBE装置罐区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70DC3">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957B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12.783</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7A66B">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三级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5D571">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甲醇2176.34吨，MTBE2038.6吨</w:t>
            </w:r>
          </w:p>
        </w:tc>
      </w:tr>
      <w:tr w14:paraId="5BE63159">
        <w:tblPrEx>
          <w:tblCellMar>
            <w:top w:w="0" w:type="dxa"/>
            <w:left w:w="108" w:type="dxa"/>
            <w:bottom w:w="0" w:type="dxa"/>
            <w:right w:w="108" w:type="dxa"/>
          </w:tblCellMar>
        </w:tblPrEx>
        <w:trPr>
          <w:trHeight w:val="801"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91566">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7万吨/年MTBE装置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04CFC">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7994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9.9907</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1A285">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F692D">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甲醇38.03吨，液化气53.08吨，MTBE26.52吨</w:t>
            </w:r>
          </w:p>
        </w:tc>
      </w:tr>
      <w:tr w14:paraId="3134DAEB">
        <w:tblPrEx>
          <w:tblCellMar>
            <w:top w:w="0" w:type="dxa"/>
            <w:left w:w="108" w:type="dxa"/>
            <w:bottom w:w="0" w:type="dxa"/>
            <w:right w:w="108" w:type="dxa"/>
          </w:tblCellMar>
        </w:tblPrEx>
        <w:trPr>
          <w:trHeight w:val="114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C4EAA">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8万吨/年苯抽提装置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D5B57">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2F18">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9.981</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28594">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8D86D">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汽油173.06吨，戊烷4.26吨，苯181.15吨，石脑油4.554吨，甲苯33.89吨</w:t>
            </w:r>
          </w:p>
        </w:tc>
      </w:tr>
      <w:tr w14:paraId="569A9794">
        <w:tblPrEx>
          <w:tblCellMar>
            <w:top w:w="0" w:type="dxa"/>
            <w:left w:w="108" w:type="dxa"/>
            <w:bottom w:w="0" w:type="dxa"/>
            <w:right w:w="108" w:type="dxa"/>
          </w:tblCellMar>
        </w:tblPrEx>
        <w:trPr>
          <w:trHeight w:val="102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CA253">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160万延迟焦化装置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006F">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A4C31">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8.5635 </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5871">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5391C">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干气4.38吨，甲烷6.99吨，汽油299.23吨，燃料气0.62吨，液化气73.57吨</w:t>
            </w:r>
          </w:p>
        </w:tc>
      </w:tr>
      <w:tr w14:paraId="589D0F5D">
        <w:tblPrEx>
          <w:tblCellMar>
            <w:top w:w="0" w:type="dxa"/>
            <w:left w:w="108" w:type="dxa"/>
            <w:bottom w:w="0" w:type="dxa"/>
            <w:right w:w="108" w:type="dxa"/>
          </w:tblCellMar>
        </w:tblPrEx>
        <w:trPr>
          <w:trHeight w:val="1123"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77252">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60万吨/年催化汽油选择性加氢装置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01A00">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加氢工艺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A0C8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3.0862</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94F9A">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55A09">
            <w:pPr>
              <w:keepNext w:val="0"/>
              <w:keepLines w:val="0"/>
              <w:pageBreakBefore w:val="0"/>
              <w:widowControl/>
              <w:kinsoku/>
              <w:wordWrap/>
              <w:overflowPunct/>
              <w:topLinePunct w:val="0"/>
              <w:autoSpaceDE/>
              <w:autoSpaceDN/>
              <w:bidi w:val="0"/>
              <w:adjustRightInd/>
              <w:snapToGrid/>
              <w:spacing w:after="0" w:line="360" w:lineRule="exact"/>
              <w:jc w:val="center"/>
              <w:rPr>
                <w:rFonts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二甲基二硫2.89吨，甲烷2.85吨，汽油263.14吨，氢气0.11吨，燃料气0.7吨，液化气0.67吨</w:t>
            </w:r>
          </w:p>
        </w:tc>
      </w:tr>
      <w:tr w14:paraId="2A6876A6">
        <w:tblPrEx>
          <w:tblCellMar>
            <w:top w:w="0" w:type="dxa"/>
            <w:left w:w="108" w:type="dxa"/>
            <w:bottom w:w="0" w:type="dxa"/>
            <w:right w:w="108" w:type="dxa"/>
          </w:tblCellMar>
        </w:tblPrEx>
        <w:trPr>
          <w:trHeight w:val="851"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5923F">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催化烟气脱硫脱硝装置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09EF5">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4281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8.364</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B530E">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36895">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液氨18.819吨</w:t>
            </w:r>
          </w:p>
        </w:tc>
      </w:tr>
      <w:tr w14:paraId="542137BA">
        <w:tblPrEx>
          <w:tblCellMar>
            <w:top w:w="0" w:type="dxa"/>
            <w:left w:w="108" w:type="dxa"/>
            <w:bottom w:w="0" w:type="dxa"/>
            <w:right w:w="108" w:type="dxa"/>
          </w:tblCellMar>
        </w:tblPrEx>
        <w:trPr>
          <w:trHeight w:val="831"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EFE1C">
            <w:pPr>
              <w:keepNext w:val="0"/>
              <w:keepLines w:val="0"/>
              <w:pageBreakBefore w:val="0"/>
              <w:widowControl/>
              <w:kinsoku/>
              <w:wordWrap/>
              <w:overflowPunct/>
              <w:topLinePunct w:val="0"/>
              <w:autoSpaceDE/>
              <w:autoSpaceDN/>
              <w:bidi w:val="0"/>
              <w:adjustRightInd/>
              <w:snapToGrid/>
              <w:spacing w:after="0" w:line="360" w:lineRule="exact"/>
              <w:jc w:val="center"/>
              <w:rPr>
                <w:rFonts w:hint="eastAsia" w:ascii="仿宋_GB2312" w:hAnsi="宋体" w:eastAsia="仿宋_GB2312" w:cs="宋体"/>
                <w:color w:val="000000"/>
                <w:kern w:val="0"/>
                <w:sz w:val="21"/>
                <w:szCs w:val="21"/>
              </w:rPr>
            </w:pPr>
            <w:r>
              <w:rPr>
                <w:rFonts w:hint="eastAsia" w:ascii="仿宋_GB2312" w:hAnsi="宋体" w:eastAsia="仿宋_GB2312" w:cs="宋体"/>
                <w:color w:val="000000"/>
                <w:kern w:val="0"/>
                <w:sz w:val="21"/>
                <w:szCs w:val="21"/>
              </w:rPr>
              <w:t>3901#-3904#柴油罐区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01155">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6A2B1">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6.8</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81428">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2139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柴油17000吨</w:t>
            </w:r>
          </w:p>
        </w:tc>
      </w:tr>
      <w:tr w14:paraId="7532DF7B">
        <w:tblPrEx>
          <w:tblCellMar>
            <w:top w:w="0" w:type="dxa"/>
            <w:left w:w="108" w:type="dxa"/>
            <w:bottom w:w="0" w:type="dxa"/>
            <w:right w:w="108" w:type="dxa"/>
          </w:tblCellMar>
        </w:tblPrEx>
        <w:trPr>
          <w:trHeight w:val="860"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55BAD">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501#-510#柴油罐区</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19478">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无</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B17A">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17</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CA66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三级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3CBB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柴油42500吨</w:t>
            </w:r>
          </w:p>
        </w:tc>
      </w:tr>
      <w:tr w14:paraId="306F1DB9">
        <w:tblPrEx>
          <w:tblCellMar>
            <w:top w:w="0" w:type="dxa"/>
            <w:left w:w="108" w:type="dxa"/>
            <w:bottom w:w="0" w:type="dxa"/>
            <w:right w:w="108" w:type="dxa"/>
          </w:tblCellMar>
        </w:tblPrEx>
        <w:trPr>
          <w:trHeight w:val="1123"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CE41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60万吨/年柴油加氢装置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DD9EE">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加氢工艺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13B5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3.831</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01820">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C99F4">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柴油136.6吨，氢气0.43吨，石脑油5.69吨，二甲基二硫4.82，硫化氢0.38，燃料气0.94吨</w:t>
            </w:r>
          </w:p>
        </w:tc>
      </w:tr>
      <w:tr w14:paraId="3405F8E5">
        <w:tblPrEx>
          <w:tblCellMar>
            <w:top w:w="0" w:type="dxa"/>
            <w:left w:w="108" w:type="dxa"/>
            <w:bottom w:w="0" w:type="dxa"/>
            <w:right w:w="108" w:type="dxa"/>
          </w:tblCellMar>
        </w:tblPrEx>
        <w:trPr>
          <w:trHeight w:val="1123" w:hRule="atLeast"/>
          <w:jc w:val="center"/>
        </w:trPr>
        <w:tc>
          <w:tcPr>
            <w:tcW w:w="9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FE25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100万吨/年汽柴油加氢装置</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BD92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加氢工艺</w:t>
            </w:r>
          </w:p>
        </w:tc>
        <w:tc>
          <w:tcPr>
            <w:tcW w:w="6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000C3">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5.7498</w:t>
            </w:r>
          </w:p>
        </w:tc>
        <w:tc>
          <w:tcPr>
            <w:tcW w:w="6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11A07">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四级</w:t>
            </w:r>
          </w:p>
        </w:tc>
        <w:tc>
          <w:tcPr>
            <w:tcW w:w="18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99F82">
            <w:pPr>
              <w:keepNext w:val="0"/>
              <w:keepLines w:val="0"/>
              <w:pageBreakBefore w:val="0"/>
              <w:widowControl/>
              <w:suppressLineNumbers w:val="0"/>
              <w:kinsoku/>
              <w:wordWrap/>
              <w:overflowPunct/>
              <w:topLinePunct w:val="0"/>
              <w:autoSpaceDE/>
              <w:autoSpaceDN/>
              <w:bidi w:val="0"/>
              <w:adjustRightInd/>
              <w:snapToGrid/>
              <w:spacing w:after="0" w:line="360" w:lineRule="exact"/>
              <w:jc w:val="center"/>
              <w:textAlignment w:val="center"/>
              <w:rPr>
                <w:rFonts w:hint="eastAsia" w:ascii="仿宋_GB2312" w:hAnsi="宋体" w:eastAsia="仿宋_GB2312" w:cs="宋体"/>
                <w:color w:val="000000"/>
                <w:kern w:val="0"/>
                <w:sz w:val="21"/>
                <w:szCs w:val="21"/>
              </w:rPr>
            </w:pPr>
            <w:r>
              <w:rPr>
                <w:rFonts w:hint="default" w:ascii="仿宋_GB2312" w:hAnsi="宋体" w:eastAsia="仿宋_GB2312" w:cs="仿宋_GB2312"/>
                <w:i w:val="0"/>
                <w:iCs w:val="0"/>
                <w:color w:val="000000"/>
                <w:kern w:val="0"/>
                <w:sz w:val="21"/>
                <w:szCs w:val="21"/>
                <w:u w:val="none"/>
                <w:lang w:val="en-US" w:eastAsia="zh-CN" w:bidi="ar"/>
              </w:rPr>
              <w:t>汽油104吨，柴油305.22吨，氢气0.489吨，液化气2.576吨，甲烷4.481吨，燃料气0.314吨，二甲基二硫23.416吨</w:t>
            </w:r>
          </w:p>
        </w:tc>
      </w:tr>
    </w:tbl>
    <w:p w14:paraId="626E8E04">
      <w:pPr>
        <w:spacing w:before="101" w:line="223" w:lineRule="auto"/>
        <w:ind w:left="45"/>
        <w:jc w:val="center"/>
        <w:rPr>
          <w:rFonts w:hint="eastAsia" w:ascii="黑体" w:hAnsi="黑体" w:eastAsia="黑体" w:cs="黑体"/>
          <w:spacing w:val="7"/>
          <w:sz w:val="31"/>
          <w:szCs w:val="31"/>
        </w:rPr>
      </w:pPr>
    </w:p>
    <w:p w14:paraId="3C74F55D">
      <w:pPr>
        <w:spacing w:before="91" w:line="218" w:lineRule="auto"/>
        <w:ind w:left="51"/>
        <w:rPr>
          <w:rFonts w:hint="eastAsia" w:ascii="华文中宋" w:hAnsi="华文中宋" w:eastAsia="华文中宋" w:cs="华文中宋"/>
          <w:sz w:val="24"/>
          <w:szCs w:val="24"/>
          <w:lang w:val="en-US" w:eastAsia="zh-CN"/>
        </w:rPr>
      </w:pPr>
      <w:r>
        <w:rPr>
          <w:rFonts w:hint="eastAsia" w:ascii="华文中宋" w:hAnsi="华文中宋" w:eastAsia="华文中宋" w:cs="华文中宋"/>
          <w:spacing w:val="-15"/>
          <w:sz w:val="24"/>
          <w:szCs w:val="24"/>
        </w:rPr>
        <w:t>附件</w:t>
      </w:r>
      <w:r>
        <w:rPr>
          <w:rFonts w:hint="eastAsia" w:ascii="华文中宋" w:hAnsi="华文中宋" w:eastAsia="华文中宋" w:cs="华文中宋"/>
          <w:spacing w:val="-15"/>
          <w:sz w:val="24"/>
          <w:szCs w:val="24"/>
          <w:lang w:val="en-US" w:eastAsia="zh-CN"/>
        </w:rPr>
        <w:t>2</w:t>
      </w:r>
    </w:p>
    <w:p w14:paraId="10DFD988">
      <w:pPr>
        <w:keepNext w:val="0"/>
        <w:keepLines w:val="0"/>
        <w:pageBreakBefore w:val="0"/>
        <w:widowControl/>
        <w:kinsoku/>
        <w:wordWrap/>
        <w:overflowPunct/>
        <w:topLinePunct w:val="0"/>
        <w:autoSpaceDE/>
        <w:autoSpaceDN/>
        <w:bidi w:val="0"/>
        <w:adjustRightInd/>
        <w:snapToGrid/>
        <w:spacing w:before="101" w:line="224" w:lineRule="auto"/>
        <w:ind w:left="45"/>
        <w:jc w:val="center"/>
        <w:textAlignment w:val="auto"/>
        <w:rPr>
          <w:rFonts w:hint="eastAsia" w:ascii="华文中宋" w:hAnsi="华文中宋" w:eastAsia="华文中宋" w:cs="华文中宋"/>
          <w:spacing w:val="7"/>
          <w:sz w:val="32"/>
          <w:szCs w:val="32"/>
          <w:lang w:val="en-US" w:eastAsia="zh-CN"/>
        </w:rPr>
      </w:pPr>
      <w:r>
        <w:rPr>
          <w:rFonts w:hint="eastAsia" w:ascii="华文中宋" w:hAnsi="华文中宋" w:eastAsia="华文中宋" w:cs="华文中宋"/>
          <w:spacing w:val="7"/>
          <w:sz w:val="32"/>
          <w:szCs w:val="32"/>
          <w:lang w:val="en-US" w:eastAsia="zh-CN"/>
        </w:rPr>
        <w:t>危险化学品辨识</w:t>
      </w:r>
    </w:p>
    <w:p w14:paraId="5AF6F6D0">
      <w:pPr>
        <w:keepNext w:val="0"/>
        <w:keepLines w:val="0"/>
        <w:pageBreakBefore w:val="0"/>
        <w:widowControl/>
        <w:kinsoku/>
        <w:wordWrap/>
        <w:overflowPunct/>
        <w:topLinePunct w:val="0"/>
        <w:autoSpaceDE/>
        <w:autoSpaceDN/>
        <w:bidi w:val="0"/>
        <w:snapToGrid/>
        <w:spacing w:before="0" w:after="0" w:line="360" w:lineRule="exact"/>
        <w:ind w:left="0" w:firstLine="420" w:firstLineChars="200"/>
        <w:jc w:val="left"/>
        <w:textAlignment w:val="auto"/>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青岛石化公司在生产运营过程中涉及的危险物质主要包括以下几类：</w:t>
      </w:r>
    </w:p>
    <w:p w14:paraId="5A1A6C9F">
      <w:pPr>
        <w:keepNext w:val="0"/>
        <w:keepLines w:val="0"/>
        <w:pageBreakBefore w:val="0"/>
        <w:widowControl/>
        <w:kinsoku/>
        <w:wordWrap/>
        <w:overflowPunct/>
        <w:topLinePunct w:val="0"/>
        <w:autoSpaceDE/>
        <w:autoSpaceDN/>
        <w:bidi w:val="0"/>
        <w:adjustRightInd w:val="0"/>
        <w:snapToGrid/>
        <w:spacing w:after="0" w:line="360" w:lineRule="exact"/>
        <w:ind w:firstLine="420" w:firstLineChars="200"/>
        <w:jc w:val="left"/>
        <w:textAlignment w:val="auto"/>
        <w:rPr>
          <w:rFonts w:hint="eastAsia" w:ascii="Calibri" w:hAnsi="Calibri" w:cs="Times New Roman"/>
          <w:kern w:val="0"/>
          <w:sz w:val="21"/>
          <w:szCs w:val="21"/>
        </w:rPr>
      </w:pPr>
      <w:r>
        <w:rPr>
          <w:rFonts w:hint="eastAsia" w:ascii="Calibri" w:hAnsi="Calibri" w:cs="Times New Roman"/>
          <w:kern w:val="0"/>
          <w:sz w:val="21"/>
          <w:szCs w:val="21"/>
        </w:rPr>
        <w:t>1）易燃液体：原油、石脑油、汽油、柴油、苯、甲醇、MTBE、三乙基铝等。</w:t>
      </w:r>
    </w:p>
    <w:p w14:paraId="6B0F2DC5">
      <w:pPr>
        <w:keepNext w:val="0"/>
        <w:keepLines w:val="0"/>
        <w:pageBreakBefore w:val="0"/>
        <w:widowControl/>
        <w:kinsoku/>
        <w:wordWrap/>
        <w:overflowPunct/>
        <w:topLinePunct w:val="0"/>
        <w:autoSpaceDE/>
        <w:autoSpaceDN/>
        <w:bidi w:val="0"/>
        <w:adjustRightInd w:val="0"/>
        <w:snapToGrid/>
        <w:spacing w:after="0" w:line="360" w:lineRule="exact"/>
        <w:ind w:firstLine="420" w:firstLineChars="200"/>
        <w:jc w:val="left"/>
        <w:textAlignment w:val="auto"/>
        <w:rPr>
          <w:rFonts w:hint="eastAsia" w:ascii="Calibri" w:hAnsi="Calibri" w:cs="Times New Roman"/>
          <w:kern w:val="0"/>
          <w:sz w:val="21"/>
          <w:szCs w:val="21"/>
        </w:rPr>
      </w:pPr>
      <w:r>
        <w:rPr>
          <w:rFonts w:hint="eastAsia" w:ascii="Calibri" w:hAnsi="Calibri" w:cs="Times New Roman"/>
          <w:kern w:val="0"/>
          <w:sz w:val="21"/>
          <w:szCs w:val="21"/>
        </w:rPr>
        <w:t>2）易燃气体：液化石油气、氢气、干气、天然气、丙烷、丙烯、乙烷等。</w:t>
      </w:r>
    </w:p>
    <w:p w14:paraId="584D4901">
      <w:pPr>
        <w:keepNext w:val="0"/>
        <w:keepLines w:val="0"/>
        <w:pageBreakBefore w:val="0"/>
        <w:widowControl/>
        <w:kinsoku/>
        <w:wordWrap/>
        <w:overflowPunct/>
        <w:topLinePunct w:val="0"/>
        <w:autoSpaceDE/>
        <w:autoSpaceDN/>
        <w:bidi w:val="0"/>
        <w:adjustRightInd w:val="0"/>
        <w:snapToGrid/>
        <w:spacing w:after="0" w:line="360" w:lineRule="exact"/>
        <w:ind w:firstLine="420" w:firstLineChars="200"/>
        <w:jc w:val="left"/>
        <w:textAlignment w:val="auto"/>
        <w:rPr>
          <w:rFonts w:hint="eastAsia" w:ascii="Calibri" w:hAnsi="Calibri" w:cs="Times New Roman"/>
          <w:kern w:val="0"/>
          <w:sz w:val="21"/>
          <w:szCs w:val="21"/>
        </w:rPr>
      </w:pPr>
      <w:r>
        <w:rPr>
          <w:rFonts w:hint="eastAsia" w:ascii="Calibri" w:hAnsi="Calibri" w:cs="Times New Roman"/>
          <w:kern w:val="0"/>
          <w:sz w:val="21"/>
          <w:szCs w:val="21"/>
        </w:rPr>
        <w:t>3）有毒气体：氨、硫化氢、二氧化硫等。</w:t>
      </w:r>
    </w:p>
    <w:p w14:paraId="23FFA6AF">
      <w:pPr>
        <w:keepNext w:val="0"/>
        <w:keepLines w:val="0"/>
        <w:pageBreakBefore w:val="0"/>
        <w:widowControl/>
        <w:kinsoku/>
        <w:wordWrap/>
        <w:overflowPunct/>
        <w:topLinePunct w:val="0"/>
        <w:autoSpaceDE/>
        <w:autoSpaceDN/>
        <w:bidi w:val="0"/>
        <w:adjustRightInd w:val="0"/>
        <w:snapToGrid/>
        <w:spacing w:after="0" w:line="360" w:lineRule="exact"/>
        <w:ind w:firstLine="420" w:firstLineChars="200"/>
        <w:jc w:val="left"/>
        <w:textAlignment w:val="auto"/>
        <w:rPr>
          <w:color w:val="000000" w:themeColor="text1"/>
          <w:sz w:val="21"/>
          <w:szCs w:val="21"/>
          <w14:textFill>
            <w14:solidFill>
              <w14:schemeClr w14:val="tx1"/>
            </w14:solidFill>
          </w14:textFill>
        </w:rPr>
      </w:pPr>
      <w:r>
        <w:rPr>
          <w:rFonts w:hint="eastAsia" w:ascii="Calibri" w:hAnsi="Calibri" w:cs="Times New Roman"/>
          <w:kern w:val="0"/>
          <w:sz w:val="21"/>
          <w:szCs w:val="21"/>
        </w:rPr>
        <w:t>4）腐蚀性物质：硫酸、盐酸、氢氧化钠等。</w:t>
      </w:r>
    </w:p>
    <w:p w14:paraId="7E93FF75">
      <w:pPr>
        <w:pStyle w:val="3"/>
        <w:keepNext/>
        <w:keepLines/>
        <w:pageBreakBefore w:val="0"/>
        <w:widowControl/>
        <w:kinsoku/>
        <w:wordWrap/>
        <w:overflowPunct/>
        <w:topLinePunct w:val="0"/>
        <w:autoSpaceDE/>
        <w:autoSpaceDN/>
        <w:bidi w:val="0"/>
        <w:adjustRightInd/>
        <w:snapToGrid/>
        <w:spacing w:line="416" w:lineRule="auto"/>
        <w:ind w:firstLine="0" w:firstLineChars="0"/>
        <w:jc w:val="left"/>
        <w:textAlignment w:val="auto"/>
        <w:rPr>
          <w:rFonts w:hint="eastAsia" w:ascii="黑体" w:hAnsi="宋体" w:eastAsia="黑体" w:cstheme="majorBidi"/>
          <w:kern w:val="0"/>
          <w:sz w:val="21"/>
          <w:szCs w:val="21"/>
        </w:rPr>
      </w:pPr>
      <w:bookmarkStart w:id="82" w:name="_Toc28431"/>
      <w:bookmarkStart w:id="83" w:name="_Toc37"/>
      <w:bookmarkStart w:id="84" w:name="_Toc27793"/>
      <w:r>
        <w:rPr>
          <w:rFonts w:hint="eastAsia" w:ascii="黑体" w:hAnsi="宋体" w:eastAsia="黑体" w:cstheme="majorBidi"/>
          <w:kern w:val="0"/>
          <w:sz w:val="21"/>
          <w:szCs w:val="21"/>
          <w:lang w:val="en-US" w:eastAsia="zh-CN"/>
        </w:rPr>
        <w:t>8.2.1</w:t>
      </w:r>
      <w:r>
        <w:rPr>
          <w:rFonts w:hint="eastAsia" w:ascii="黑体" w:hAnsi="宋体" w:eastAsia="黑体" w:cstheme="majorBidi"/>
          <w:kern w:val="0"/>
          <w:sz w:val="21"/>
          <w:szCs w:val="21"/>
        </w:rPr>
        <w:t>主要危险物质的物理化学性质及危险特性</w:t>
      </w:r>
      <w:bookmarkEnd w:id="82"/>
      <w:bookmarkEnd w:id="83"/>
      <w:bookmarkEnd w:id="84"/>
    </w:p>
    <w:p w14:paraId="6A9ABF65">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青岛石化公司主要危险物质的物理化学性质及危险特性数据见下表</w:t>
      </w:r>
      <w:r>
        <w:rPr>
          <w:rFonts w:hint="eastAsia" w:ascii="宋体" w:hAnsi="宋体" w:cs="Times New Roman"/>
          <w:spacing w:val="0"/>
          <w:kern w:val="0"/>
          <w:sz w:val="21"/>
          <w:szCs w:val="21"/>
          <w:lang w:val="en-US" w:eastAsia="zh-CN"/>
        </w:rPr>
        <w:t>8</w:t>
      </w:r>
      <w:r>
        <w:rPr>
          <w:rFonts w:hint="eastAsia" w:ascii="宋体" w:hAnsi="宋体" w:eastAsia="宋体" w:cs="Times New Roman"/>
          <w:spacing w:val="0"/>
          <w:kern w:val="0"/>
          <w:sz w:val="21"/>
          <w:szCs w:val="21"/>
        </w:rPr>
        <w:t>.</w:t>
      </w:r>
      <w:r>
        <w:rPr>
          <w:rFonts w:hint="eastAsia" w:ascii="宋体" w:hAnsi="宋体" w:cs="Times New Roman"/>
          <w:spacing w:val="0"/>
          <w:kern w:val="0"/>
          <w:sz w:val="21"/>
          <w:szCs w:val="21"/>
          <w:lang w:val="en-US" w:eastAsia="zh-CN"/>
        </w:rPr>
        <w:t>2</w:t>
      </w:r>
      <w:r>
        <w:rPr>
          <w:rFonts w:hint="eastAsia" w:ascii="宋体" w:hAnsi="宋体" w:eastAsia="宋体" w:cs="Times New Roman"/>
          <w:spacing w:val="0"/>
          <w:kern w:val="0"/>
          <w:sz w:val="21"/>
          <w:szCs w:val="21"/>
        </w:rPr>
        <w:t>-1。</w:t>
      </w:r>
    </w:p>
    <w:p w14:paraId="177DA817">
      <w:pPr>
        <w:keepNext w:val="0"/>
        <w:keepLines w:val="0"/>
        <w:pageBreakBefore w:val="0"/>
        <w:widowControl/>
        <w:kinsoku/>
        <w:wordWrap/>
        <w:overflowPunct/>
        <w:topLinePunct w:val="0"/>
        <w:autoSpaceDE/>
        <w:autoSpaceDN/>
        <w:bidi w:val="0"/>
        <w:adjustRightInd/>
        <w:snapToGrid/>
        <w:spacing w:before="100" w:after="100" w:line="360" w:lineRule="exact"/>
        <w:ind w:firstLine="0" w:firstLineChars="0"/>
        <w:jc w:val="center"/>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表</w:t>
      </w:r>
      <w:r>
        <w:rPr>
          <w:rFonts w:hint="eastAsia" w:ascii="宋体" w:hAnsi="宋体" w:cs="宋体"/>
          <w:b/>
          <w:bCs/>
          <w:kern w:val="0"/>
          <w:sz w:val="24"/>
          <w:szCs w:val="24"/>
          <w:lang w:val="en-US" w:eastAsia="zh-CN"/>
        </w:rPr>
        <w:t>8</w:t>
      </w: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-1  主要危险有害物质的特性一览表</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
        <w:gridCol w:w="1189"/>
        <w:gridCol w:w="903"/>
        <w:gridCol w:w="832"/>
        <w:gridCol w:w="691"/>
        <w:gridCol w:w="1190"/>
        <w:gridCol w:w="692"/>
        <w:gridCol w:w="690"/>
        <w:gridCol w:w="693"/>
        <w:gridCol w:w="1110"/>
      </w:tblGrid>
      <w:tr w14:paraId="0FEE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15" w:type="pct"/>
            <w:vMerge w:val="restart"/>
            <w:vAlign w:val="center"/>
          </w:tcPr>
          <w:p w14:paraId="7CBD0CC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序号</w:t>
            </w:r>
          </w:p>
        </w:tc>
        <w:tc>
          <w:tcPr>
            <w:tcW w:w="712" w:type="pct"/>
            <w:vMerge w:val="restart"/>
            <w:tcMar>
              <w:left w:w="51" w:type="dxa"/>
              <w:right w:w="51" w:type="dxa"/>
            </w:tcMar>
            <w:vAlign w:val="center"/>
          </w:tcPr>
          <w:p w14:paraId="34B21BB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物料名称</w:t>
            </w:r>
          </w:p>
        </w:tc>
        <w:tc>
          <w:tcPr>
            <w:tcW w:w="544" w:type="pct"/>
            <w:vMerge w:val="restart"/>
            <w:tcMar>
              <w:left w:w="51" w:type="dxa"/>
              <w:right w:w="51" w:type="dxa"/>
            </w:tcMar>
            <w:vAlign w:val="center"/>
          </w:tcPr>
          <w:p w14:paraId="61A24F4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引燃温度</w:t>
            </w:r>
          </w:p>
          <w:p w14:paraId="1D32580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vMerge w:val="restart"/>
            <w:tcMar>
              <w:left w:w="51" w:type="dxa"/>
              <w:right w:w="51" w:type="dxa"/>
            </w:tcMar>
            <w:vAlign w:val="center"/>
          </w:tcPr>
          <w:p w14:paraId="505358C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闪点</w:t>
            </w:r>
          </w:p>
          <w:p w14:paraId="2FA7573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Merge w:val="restart"/>
            <w:tcMar>
              <w:left w:w="51" w:type="dxa"/>
              <w:right w:w="51" w:type="dxa"/>
            </w:tcMar>
            <w:vAlign w:val="center"/>
          </w:tcPr>
          <w:p w14:paraId="52E7915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火灾危险类别</w:t>
            </w:r>
          </w:p>
        </w:tc>
        <w:tc>
          <w:tcPr>
            <w:tcW w:w="1005" w:type="pct"/>
            <w:gridSpan w:val="2"/>
            <w:tcMar>
              <w:left w:w="51" w:type="dxa"/>
              <w:right w:w="51" w:type="dxa"/>
            </w:tcMar>
            <w:vAlign w:val="center"/>
          </w:tcPr>
          <w:p w14:paraId="3D3A3B4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爆炸极限（%）</w:t>
            </w:r>
          </w:p>
        </w:tc>
        <w:tc>
          <w:tcPr>
            <w:tcW w:w="838" w:type="pct"/>
            <w:gridSpan w:val="2"/>
            <w:tcMar>
              <w:left w:w="51" w:type="dxa"/>
              <w:right w:w="51" w:type="dxa"/>
            </w:tcMar>
            <w:vAlign w:val="center"/>
          </w:tcPr>
          <w:p w14:paraId="433A3E8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爆炸危险类别</w:t>
            </w:r>
          </w:p>
        </w:tc>
        <w:tc>
          <w:tcPr>
            <w:tcW w:w="665" w:type="pct"/>
            <w:vMerge w:val="restart"/>
            <w:tcMar>
              <w:left w:w="51" w:type="dxa"/>
              <w:right w:w="51" w:type="dxa"/>
            </w:tcMar>
            <w:vAlign w:val="center"/>
          </w:tcPr>
          <w:p w14:paraId="647A313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相对蒸气密度（空气=1）</w:t>
            </w:r>
          </w:p>
        </w:tc>
      </w:tr>
      <w:tr w14:paraId="7ABC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15" w:type="pct"/>
            <w:vMerge w:val="continue"/>
            <w:vAlign w:val="center"/>
          </w:tcPr>
          <w:p w14:paraId="1676B4D8">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vMerge w:val="continue"/>
            <w:tcMar>
              <w:left w:w="51" w:type="dxa"/>
              <w:right w:w="51" w:type="dxa"/>
            </w:tcMar>
            <w:vAlign w:val="center"/>
          </w:tcPr>
          <w:p w14:paraId="4595757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c>
          <w:tcPr>
            <w:tcW w:w="544" w:type="pct"/>
            <w:vMerge w:val="continue"/>
            <w:tcMar>
              <w:left w:w="51" w:type="dxa"/>
              <w:right w:w="51" w:type="dxa"/>
            </w:tcMar>
            <w:vAlign w:val="center"/>
          </w:tcPr>
          <w:p w14:paraId="0EAB961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c>
          <w:tcPr>
            <w:tcW w:w="502" w:type="pct"/>
            <w:vMerge w:val="continue"/>
            <w:tcMar>
              <w:left w:w="51" w:type="dxa"/>
              <w:right w:w="51" w:type="dxa"/>
            </w:tcMar>
            <w:vAlign w:val="center"/>
          </w:tcPr>
          <w:p w14:paraId="3DCB5AF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c>
          <w:tcPr>
            <w:tcW w:w="419" w:type="pct"/>
            <w:vMerge w:val="continue"/>
            <w:tcMar>
              <w:left w:w="51" w:type="dxa"/>
              <w:right w:w="51" w:type="dxa"/>
            </w:tcMar>
            <w:vAlign w:val="center"/>
          </w:tcPr>
          <w:p w14:paraId="7E87762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c>
          <w:tcPr>
            <w:tcW w:w="586" w:type="pct"/>
            <w:vAlign w:val="center"/>
          </w:tcPr>
          <w:p w14:paraId="0D964A7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下限</w:t>
            </w:r>
          </w:p>
        </w:tc>
        <w:tc>
          <w:tcPr>
            <w:tcW w:w="419" w:type="pct"/>
            <w:vAlign w:val="center"/>
          </w:tcPr>
          <w:p w14:paraId="6A29081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上限</w:t>
            </w:r>
          </w:p>
        </w:tc>
        <w:tc>
          <w:tcPr>
            <w:tcW w:w="418" w:type="pct"/>
            <w:tcMar>
              <w:left w:w="51" w:type="dxa"/>
              <w:right w:w="51" w:type="dxa"/>
            </w:tcMar>
            <w:vAlign w:val="center"/>
          </w:tcPr>
          <w:p w14:paraId="0D958F7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组别</w:t>
            </w:r>
          </w:p>
        </w:tc>
        <w:tc>
          <w:tcPr>
            <w:tcW w:w="420" w:type="pct"/>
            <w:vAlign w:val="center"/>
          </w:tcPr>
          <w:p w14:paraId="0A96C25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级别</w:t>
            </w:r>
          </w:p>
        </w:tc>
        <w:tc>
          <w:tcPr>
            <w:tcW w:w="665" w:type="pct"/>
            <w:vMerge w:val="continue"/>
            <w:tcMar>
              <w:left w:w="51" w:type="dxa"/>
              <w:right w:w="51" w:type="dxa"/>
            </w:tcMar>
            <w:vAlign w:val="center"/>
          </w:tcPr>
          <w:p w14:paraId="03972FC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r>
      <w:tr w14:paraId="6010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4BE6136C">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420721D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石脑油</w:t>
            </w:r>
          </w:p>
        </w:tc>
        <w:tc>
          <w:tcPr>
            <w:tcW w:w="544" w:type="pct"/>
            <w:tcMar>
              <w:left w:w="51" w:type="dxa"/>
              <w:right w:w="51" w:type="dxa"/>
            </w:tcMar>
            <w:vAlign w:val="center"/>
          </w:tcPr>
          <w:p w14:paraId="13EDDC5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288</w:t>
            </w:r>
          </w:p>
        </w:tc>
        <w:tc>
          <w:tcPr>
            <w:tcW w:w="502" w:type="pct"/>
            <w:tcMar>
              <w:left w:w="51" w:type="dxa"/>
              <w:right w:w="51" w:type="dxa"/>
            </w:tcMar>
            <w:vAlign w:val="center"/>
          </w:tcPr>
          <w:p w14:paraId="3F79B81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sym w:font="Symbol" w:char="F03C"/>
            </w:r>
            <w:r>
              <w:rPr>
                <w:color w:val="000000" w:themeColor="text1"/>
                <w:kern w:val="0"/>
                <w:sz w:val="21"/>
                <w:szCs w:val="21"/>
                <w14:textFill>
                  <w14:solidFill>
                    <w14:schemeClr w14:val="tx1"/>
                  </w14:solidFill>
                </w14:textFill>
              </w:rPr>
              <w:t>-18</w:t>
            </w:r>
          </w:p>
        </w:tc>
        <w:tc>
          <w:tcPr>
            <w:tcW w:w="419" w:type="pct"/>
            <w:tcMar>
              <w:left w:w="51" w:type="dxa"/>
              <w:right w:w="51" w:type="dxa"/>
            </w:tcMar>
            <w:vAlign w:val="center"/>
          </w:tcPr>
          <w:p w14:paraId="2F3EACE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vertAlign w:val="subscript"/>
                <w14:textFill>
                  <w14:solidFill>
                    <w14:schemeClr w14:val="tx1"/>
                  </w14:solidFill>
                </w14:textFill>
              </w:rPr>
            </w:pPr>
            <w:r>
              <w:rPr>
                <w:color w:val="000000" w:themeColor="text1"/>
                <w:kern w:val="0"/>
                <w:sz w:val="21"/>
                <w:szCs w:val="21"/>
                <w14:textFill>
                  <w14:solidFill>
                    <w14:schemeClr w14:val="tx1"/>
                  </w14:solidFill>
                </w14:textFill>
              </w:rPr>
              <w:t>甲</w:t>
            </w:r>
            <w:r>
              <w:rPr>
                <w:color w:val="000000" w:themeColor="text1"/>
                <w:kern w:val="0"/>
                <w:sz w:val="21"/>
                <w:szCs w:val="21"/>
                <w:vertAlign w:val="subscript"/>
                <w14:textFill>
                  <w14:solidFill>
                    <w14:schemeClr w14:val="tx1"/>
                  </w14:solidFill>
                </w14:textFill>
              </w:rPr>
              <w:t>B</w:t>
            </w:r>
          </w:p>
        </w:tc>
        <w:tc>
          <w:tcPr>
            <w:tcW w:w="586" w:type="pct"/>
            <w:vAlign w:val="center"/>
          </w:tcPr>
          <w:p w14:paraId="49C5070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1.1</w:t>
            </w:r>
          </w:p>
        </w:tc>
        <w:tc>
          <w:tcPr>
            <w:tcW w:w="419" w:type="pct"/>
            <w:vAlign w:val="center"/>
          </w:tcPr>
          <w:p w14:paraId="7C15283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8.7</w:t>
            </w:r>
          </w:p>
        </w:tc>
        <w:tc>
          <w:tcPr>
            <w:tcW w:w="418" w:type="pct"/>
            <w:tcMar>
              <w:left w:w="51" w:type="dxa"/>
              <w:right w:w="51" w:type="dxa"/>
            </w:tcMar>
            <w:vAlign w:val="center"/>
          </w:tcPr>
          <w:p w14:paraId="128539B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T3</w:t>
            </w:r>
          </w:p>
        </w:tc>
        <w:tc>
          <w:tcPr>
            <w:tcW w:w="420" w:type="pct"/>
            <w:vAlign w:val="center"/>
          </w:tcPr>
          <w:p w14:paraId="423EB7B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2C190D6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2.62</w:t>
            </w:r>
          </w:p>
        </w:tc>
      </w:tr>
      <w:tr w14:paraId="29214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57240017">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758474E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原油</w:t>
            </w:r>
          </w:p>
        </w:tc>
        <w:tc>
          <w:tcPr>
            <w:tcW w:w="544" w:type="pct"/>
            <w:tcMar>
              <w:left w:w="51" w:type="dxa"/>
              <w:right w:w="51" w:type="dxa"/>
            </w:tcMar>
            <w:vAlign w:val="center"/>
          </w:tcPr>
          <w:p w14:paraId="544D3C2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sym w:font="Symbol" w:char="F03C"/>
            </w:r>
            <w:r>
              <w:rPr>
                <w:color w:val="000000" w:themeColor="text1"/>
                <w:kern w:val="0"/>
                <w:sz w:val="21"/>
                <w:szCs w:val="21"/>
                <w14:textFill>
                  <w14:solidFill>
                    <w14:schemeClr w14:val="tx1"/>
                  </w14:solidFill>
                </w14:textFill>
              </w:rPr>
              <w:t>350</w:t>
            </w:r>
          </w:p>
        </w:tc>
        <w:tc>
          <w:tcPr>
            <w:tcW w:w="502" w:type="pct"/>
            <w:tcMar>
              <w:left w:w="51" w:type="dxa"/>
              <w:right w:w="51" w:type="dxa"/>
            </w:tcMar>
            <w:vAlign w:val="center"/>
          </w:tcPr>
          <w:p w14:paraId="5EED366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sym w:font="Symbol" w:char="F03C"/>
            </w:r>
            <w:r>
              <w:rPr>
                <w:color w:val="000000" w:themeColor="text1"/>
                <w:kern w:val="0"/>
                <w:sz w:val="21"/>
                <w:szCs w:val="21"/>
                <w14:textFill>
                  <w14:solidFill>
                    <w14:schemeClr w14:val="tx1"/>
                  </w14:solidFill>
                </w14:textFill>
              </w:rPr>
              <w:t>-18</w:t>
            </w:r>
          </w:p>
        </w:tc>
        <w:tc>
          <w:tcPr>
            <w:tcW w:w="419" w:type="pct"/>
            <w:tcMar>
              <w:left w:w="51" w:type="dxa"/>
              <w:right w:w="51" w:type="dxa"/>
            </w:tcMar>
            <w:vAlign w:val="center"/>
          </w:tcPr>
          <w:p w14:paraId="0B9415F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r>
              <w:rPr>
                <w:color w:val="000000" w:themeColor="text1"/>
                <w:kern w:val="0"/>
                <w:sz w:val="21"/>
                <w:szCs w:val="21"/>
                <w:vertAlign w:val="subscript"/>
                <w14:textFill>
                  <w14:solidFill>
                    <w14:schemeClr w14:val="tx1"/>
                  </w14:solidFill>
                </w14:textFill>
              </w:rPr>
              <w:t>B</w:t>
            </w:r>
          </w:p>
        </w:tc>
        <w:tc>
          <w:tcPr>
            <w:tcW w:w="586" w:type="pct"/>
            <w:vAlign w:val="center"/>
          </w:tcPr>
          <w:p w14:paraId="72597C9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1.1</w:t>
            </w:r>
          </w:p>
        </w:tc>
        <w:tc>
          <w:tcPr>
            <w:tcW w:w="419" w:type="pct"/>
            <w:vAlign w:val="center"/>
          </w:tcPr>
          <w:p w14:paraId="1F311AE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8.7</w:t>
            </w:r>
          </w:p>
        </w:tc>
        <w:tc>
          <w:tcPr>
            <w:tcW w:w="418" w:type="pct"/>
            <w:tcMar>
              <w:left w:w="51" w:type="dxa"/>
              <w:right w:w="51" w:type="dxa"/>
            </w:tcMar>
            <w:vAlign w:val="center"/>
          </w:tcPr>
          <w:p w14:paraId="63D903C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T2</w:t>
            </w:r>
          </w:p>
        </w:tc>
        <w:tc>
          <w:tcPr>
            <w:tcW w:w="420" w:type="pct"/>
            <w:vAlign w:val="center"/>
          </w:tcPr>
          <w:p w14:paraId="178A57E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0A93FB2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r>
      <w:tr w14:paraId="49CE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1025F1D2">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54CD8C7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汽油</w:t>
            </w:r>
          </w:p>
        </w:tc>
        <w:tc>
          <w:tcPr>
            <w:tcW w:w="544" w:type="pct"/>
            <w:tcMar>
              <w:left w:w="51" w:type="dxa"/>
              <w:right w:w="51" w:type="dxa"/>
            </w:tcMar>
            <w:vAlign w:val="center"/>
          </w:tcPr>
          <w:p w14:paraId="53946F0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415～530</w:t>
            </w:r>
          </w:p>
        </w:tc>
        <w:tc>
          <w:tcPr>
            <w:tcW w:w="502" w:type="pct"/>
            <w:tcMar>
              <w:left w:w="51" w:type="dxa"/>
              <w:right w:w="51" w:type="dxa"/>
            </w:tcMar>
            <w:vAlign w:val="center"/>
          </w:tcPr>
          <w:p w14:paraId="63EF04C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sym w:font="Symbol" w:char="F03C"/>
            </w:r>
            <w:r>
              <w:rPr>
                <w:color w:val="000000" w:themeColor="text1"/>
                <w:kern w:val="0"/>
                <w:sz w:val="21"/>
                <w:szCs w:val="21"/>
                <w14:textFill>
                  <w14:solidFill>
                    <w14:schemeClr w14:val="tx1"/>
                  </w14:solidFill>
                </w14:textFill>
              </w:rPr>
              <w:t>28</w:t>
            </w:r>
          </w:p>
        </w:tc>
        <w:tc>
          <w:tcPr>
            <w:tcW w:w="419" w:type="pct"/>
            <w:tcMar>
              <w:left w:w="51" w:type="dxa"/>
              <w:right w:w="51" w:type="dxa"/>
            </w:tcMar>
            <w:vAlign w:val="center"/>
          </w:tcPr>
          <w:p w14:paraId="29D6306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vertAlign w:val="subscript"/>
                <w14:textFill>
                  <w14:solidFill>
                    <w14:schemeClr w14:val="tx1"/>
                  </w14:solidFill>
                </w14:textFill>
              </w:rPr>
            </w:pPr>
            <w:r>
              <w:rPr>
                <w:color w:val="000000" w:themeColor="text1"/>
                <w:kern w:val="0"/>
                <w:sz w:val="21"/>
                <w:szCs w:val="21"/>
                <w14:textFill>
                  <w14:solidFill>
                    <w14:schemeClr w14:val="tx1"/>
                  </w14:solidFill>
                </w14:textFill>
              </w:rPr>
              <w:t>甲</w:t>
            </w:r>
            <w:r>
              <w:rPr>
                <w:color w:val="000000" w:themeColor="text1"/>
                <w:kern w:val="0"/>
                <w:sz w:val="21"/>
                <w:szCs w:val="21"/>
                <w:vertAlign w:val="subscript"/>
                <w14:textFill>
                  <w14:solidFill>
                    <w14:schemeClr w14:val="tx1"/>
                  </w14:solidFill>
                </w14:textFill>
              </w:rPr>
              <w:t>B</w:t>
            </w:r>
          </w:p>
        </w:tc>
        <w:tc>
          <w:tcPr>
            <w:tcW w:w="586" w:type="pct"/>
            <w:vAlign w:val="center"/>
          </w:tcPr>
          <w:p w14:paraId="3EA732C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1.1</w:t>
            </w:r>
          </w:p>
        </w:tc>
        <w:tc>
          <w:tcPr>
            <w:tcW w:w="419" w:type="pct"/>
            <w:vAlign w:val="center"/>
          </w:tcPr>
          <w:p w14:paraId="593544A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5.9</w:t>
            </w:r>
          </w:p>
        </w:tc>
        <w:tc>
          <w:tcPr>
            <w:tcW w:w="418" w:type="pct"/>
            <w:tcMar>
              <w:left w:w="51" w:type="dxa"/>
              <w:right w:w="51" w:type="dxa"/>
            </w:tcMar>
            <w:vAlign w:val="center"/>
          </w:tcPr>
          <w:p w14:paraId="0BB53DD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T3</w:t>
            </w:r>
          </w:p>
        </w:tc>
        <w:tc>
          <w:tcPr>
            <w:tcW w:w="420" w:type="pct"/>
            <w:vAlign w:val="center"/>
          </w:tcPr>
          <w:p w14:paraId="19A236C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168E635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3.20</w:t>
            </w:r>
          </w:p>
        </w:tc>
      </w:tr>
      <w:tr w14:paraId="0BD2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6C2D0B6E">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503B377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bookmarkStart w:id="85" w:name="_Toc271637455"/>
            <w:bookmarkStart w:id="86" w:name="_Toc271637725"/>
            <w:r>
              <w:rPr>
                <w:color w:val="000000" w:themeColor="text1"/>
                <w:kern w:val="0"/>
                <w:sz w:val="21"/>
                <w:szCs w:val="21"/>
                <w14:textFill>
                  <w14:solidFill>
                    <w14:schemeClr w14:val="tx1"/>
                  </w14:solidFill>
                </w14:textFill>
              </w:rPr>
              <w:t>柴油</w:t>
            </w:r>
            <w:bookmarkEnd w:id="85"/>
            <w:bookmarkEnd w:id="86"/>
          </w:p>
        </w:tc>
        <w:tc>
          <w:tcPr>
            <w:tcW w:w="544" w:type="pct"/>
            <w:tcMar>
              <w:left w:w="51" w:type="dxa"/>
              <w:right w:w="51" w:type="dxa"/>
            </w:tcMar>
            <w:vAlign w:val="center"/>
          </w:tcPr>
          <w:p w14:paraId="4FAA7AC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bookmarkStart w:id="87" w:name="_Toc271637726"/>
            <w:bookmarkStart w:id="88" w:name="_Toc271637456"/>
            <w:r>
              <w:rPr>
                <w:color w:val="000000" w:themeColor="text1"/>
                <w:kern w:val="0"/>
                <w:sz w:val="21"/>
                <w:szCs w:val="21"/>
                <w14:textFill>
                  <w14:solidFill>
                    <w14:schemeClr w14:val="tx1"/>
                  </w14:solidFill>
                </w14:textFill>
              </w:rPr>
              <w:t>300～380</w:t>
            </w:r>
            <w:bookmarkEnd w:id="87"/>
            <w:bookmarkEnd w:id="88"/>
          </w:p>
        </w:tc>
        <w:tc>
          <w:tcPr>
            <w:tcW w:w="502" w:type="pct"/>
            <w:tcMar>
              <w:left w:w="51" w:type="dxa"/>
              <w:right w:w="51" w:type="dxa"/>
            </w:tcMar>
            <w:vAlign w:val="center"/>
          </w:tcPr>
          <w:p w14:paraId="73C0ACC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bookmarkStart w:id="89" w:name="_Toc271637727"/>
            <w:bookmarkStart w:id="90" w:name="_Toc271637457"/>
            <w:r>
              <w:rPr>
                <w:color w:val="000000" w:themeColor="text1"/>
                <w:kern w:val="0"/>
                <w:sz w:val="21"/>
                <w:szCs w:val="21"/>
                <w14:textFill>
                  <w14:solidFill>
                    <w14:schemeClr w14:val="tx1"/>
                  </w14:solidFill>
                </w14:textFill>
              </w:rPr>
              <w:t>50</w:t>
            </w:r>
            <w:bookmarkEnd w:id="89"/>
            <w:bookmarkEnd w:id="90"/>
          </w:p>
        </w:tc>
        <w:tc>
          <w:tcPr>
            <w:tcW w:w="419" w:type="pct"/>
            <w:tcMar>
              <w:left w:w="51" w:type="dxa"/>
              <w:right w:w="51" w:type="dxa"/>
            </w:tcMar>
            <w:vAlign w:val="center"/>
          </w:tcPr>
          <w:p w14:paraId="7AB0D5B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bookmarkStart w:id="91" w:name="_Toc271637458"/>
            <w:bookmarkStart w:id="92" w:name="_Toc271637728"/>
            <w:r>
              <w:rPr>
                <w:color w:val="000000" w:themeColor="text1"/>
                <w:kern w:val="0"/>
                <w:sz w:val="21"/>
                <w:szCs w:val="21"/>
                <w14:textFill>
                  <w14:solidFill>
                    <w14:schemeClr w14:val="tx1"/>
                  </w14:solidFill>
                </w14:textFill>
              </w:rPr>
              <w:t>乙</w:t>
            </w:r>
            <w:r>
              <w:rPr>
                <w:color w:val="000000" w:themeColor="text1"/>
                <w:kern w:val="0"/>
                <w:sz w:val="21"/>
                <w:szCs w:val="21"/>
                <w:vertAlign w:val="subscript"/>
                <w14:textFill>
                  <w14:solidFill>
                    <w14:schemeClr w14:val="tx1"/>
                  </w14:solidFill>
                </w14:textFill>
              </w:rPr>
              <w:t>A</w:t>
            </w:r>
            <w:bookmarkEnd w:id="91"/>
            <w:bookmarkEnd w:id="92"/>
          </w:p>
        </w:tc>
        <w:tc>
          <w:tcPr>
            <w:tcW w:w="586" w:type="pct"/>
            <w:vAlign w:val="center"/>
          </w:tcPr>
          <w:p w14:paraId="5B1671B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bookmarkStart w:id="93" w:name="_Toc271637729"/>
            <w:bookmarkStart w:id="94" w:name="_Toc271637459"/>
            <w:r>
              <w:rPr>
                <w:color w:val="000000" w:themeColor="text1"/>
                <w:kern w:val="0"/>
                <w:sz w:val="21"/>
                <w:szCs w:val="21"/>
                <w14:textFill>
                  <w14:solidFill>
                    <w14:schemeClr w14:val="tx1"/>
                  </w14:solidFill>
                </w14:textFill>
              </w:rPr>
              <w:t>1.4</w:t>
            </w:r>
            <w:bookmarkEnd w:id="93"/>
            <w:bookmarkEnd w:id="94"/>
          </w:p>
        </w:tc>
        <w:tc>
          <w:tcPr>
            <w:tcW w:w="419" w:type="pct"/>
            <w:vAlign w:val="center"/>
          </w:tcPr>
          <w:p w14:paraId="624EE30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bookmarkStart w:id="95" w:name="_Toc271637460"/>
            <w:bookmarkStart w:id="96" w:name="_Toc271637730"/>
            <w:r>
              <w:rPr>
                <w:color w:val="000000" w:themeColor="text1"/>
                <w:kern w:val="0"/>
                <w:sz w:val="21"/>
                <w:szCs w:val="21"/>
                <w14:textFill>
                  <w14:solidFill>
                    <w14:schemeClr w14:val="tx1"/>
                  </w14:solidFill>
                </w14:textFill>
              </w:rPr>
              <w:t>4.5</w:t>
            </w:r>
            <w:bookmarkEnd w:id="95"/>
            <w:bookmarkEnd w:id="96"/>
          </w:p>
        </w:tc>
        <w:tc>
          <w:tcPr>
            <w:tcW w:w="418" w:type="pct"/>
            <w:tcMar>
              <w:left w:w="51" w:type="dxa"/>
              <w:right w:w="51" w:type="dxa"/>
            </w:tcMar>
            <w:vAlign w:val="center"/>
          </w:tcPr>
          <w:p w14:paraId="24BD70C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T3</w:t>
            </w:r>
          </w:p>
        </w:tc>
        <w:tc>
          <w:tcPr>
            <w:tcW w:w="420" w:type="pct"/>
            <w:vAlign w:val="center"/>
          </w:tcPr>
          <w:p w14:paraId="6DC2E3D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3AAFB73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r>
      <w:tr w14:paraId="23D5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741C9857">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036037F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蜡油</w:t>
            </w:r>
          </w:p>
        </w:tc>
        <w:tc>
          <w:tcPr>
            <w:tcW w:w="544" w:type="pct"/>
            <w:tcMar>
              <w:left w:w="51" w:type="dxa"/>
              <w:right w:w="51" w:type="dxa"/>
            </w:tcMar>
            <w:vAlign w:val="center"/>
          </w:tcPr>
          <w:p w14:paraId="474D4CA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300～320</w:t>
            </w:r>
          </w:p>
        </w:tc>
        <w:tc>
          <w:tcPr>
            <w:tcW w:w="502" w:type="pct"/>
            <w:tcMar>
              <w:left w:w="51" w:type="dxa"/>
              <w:right w:w="51" w:type="dxa"/>
            </w:tcMar>
            <w:vAlign w:val="center"/>
          </w:tcPr>
          <w:p w14:paraId="6060714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&gt;120</w:t>
            </w:r>
          </w:p>
        </w:tc>
        <w:tc>
          <w:tcPr>
            <w:tcW w:w="419" w:type="pct"/>
            <w:tcMar>
              <w:left w:w="51" w:type="dxa"/>
              <w:right w:w="51" w:type="dxa"/>
            </w:tcMar>
            <w:vAlign w:val="center"/>
          </w:tcPr>
          <w:p w14:paraId="71790C1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丙</w:t>
            </w:r>
            <w:r>
              <w:rPr>
                <w:color w:val="000000" w:themeColor="text1"/>
                <w:kern w:val="0"/>
                <w:sz w:val="21"/>
                <w:szCs w:val="21"/>
                <w:vertAlign w:val="subscript"/>
                <w14:textFill>
                  <w14:solidFill>
                    <w14:schemeClr w14:val="tx1"/>
                  </w14:solidFill>
                </w14:textFill>
              </w:rPr>
              <w:t>B</w:t>
            </w:r>
          </w:p>
        </w:tc>
        <w:tc>
          <w:tcPr>
            <w:tcW w:w="586" w:type="pct"/>
            <w:vAlign w:val="center"/>
          </w:tcPr>
          <w:p w14:paraId="6A6BC0B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7B0A423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48BCD1A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c>
          <w:tcPr>
            <w:tcW w:w="420" w:type="pct"/>
            <w:vAlign w:val="center"/>
          </w:tcPr>
          <w:p w14:paraId="56E056A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7BDF167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r>
      <w:tr w14:paraId="1466F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29B1937A">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1352EFD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渣油</w:t>
            </w:r>
          </w:p>
        </w:tc>
        <w:tc>
          <w:tcPr>
            <w:tcW w:w="544" w:type="pct"/>
            <w:tcMar>
              <w:left w:w="51" w:type="dxa"/>
              <w:right w:w="51" w:type="dxa"/>
            </w:tcMar>
            <w:vAlign w:val="center"/>
          </w:tcPr>
          <w:p w14:paraId="717CFB9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230～240</w:t>
            </w:r>
          </w:p>
        </w:tc>
        <w:tc>
          <w:tcPr>
            <w:tcW w:w="502" w:type="pct"/>
            <w:tcMar>
              <w:left w:w="51" w:type="dxa"/>
              <w:right w:w="51" w:type="dxa"/>
            </w:tcMar>
            <w:vAlign w:val="center"/>
          </w:tcPr>
          <w:p w14:paraId="7290DFA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&gt;120</w:t>
            </w:r>
          </w:p>
        </w:tc>
        <w:tc>
          <w:tcPr>
            <w:tcW w:w="419" w:type="pct"/>
            <w:tcMar>
              <w:left w:w="51" w:type="dxa"/>
              <w:right w:w="51" w:type="dxa"/>
            </w:tcMar>
            <w:vAlign w:val="center"/>
          </w:tcPr>
          <w:p w14:paraId="52319D1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丙</w:t>
            </w:r>
            <w:r>
              <w:rPr>
                <w:color w:val="000000" w:themeColor="text1"/>
                <w:kern w:val="0"/>
                <w:sz w:val="21"/>
                <w:szCs w:val="21"/>
                <w:vertAlign w:val="subscript"/>
                <w14:textFill>
                  <w14:solidFill>
                    <w14:schemeClr w14:val="tx1"/>
                  </w14:solidFill>
                </w14:textFill>
              </w:rPr>
              <w:t>B</w:t>
            </w:r>
          </w:p>
        </w:tc>
        <w:tc>
          <w:tcPr>
            <w:tcW w:w="586" w:type="pct"/>
            <w:vAlign w:val="center"/>
          </w:tcPr>
          <w:p w14:paraId="0AFA283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3FE4BD6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26138A2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T3</w:t>
            </w:r>
          </w:p>
        </w:tc>
        <w:tc>
          <w:tcPr>
            <w:tcW w:w="420" w:type="pct"/>
            <w:vAlign w:val="center"/>
          </w:tcPr>
          <w:p w14:paraId="609B2EA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3ACD5E7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r>
      <w:tr w14:paraId="2D5D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711C5FB7">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196BBFA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液化石油气</w:t>
            </w:r>
          </w:p>
        </w:tc>
        <w:tc>
          <w:tcPr>
            <w:tcW w:w="544" w:type="pct"/>
            <w:tcMar>
              <w:left w:w="51" w:type="dxa"/>
              <w:right w:w="51" w:type="dxa"/>
            </w:tcMar>
            <w:vAlign w:val="center"/>
          </w:tcPr>
          <w:p w14:paraId="352994D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426～537</w:t>
            </w:r>
          </w:p>
        </w:tc>
        <w:tc>
          <w:tcPr>
            <w:tcW w:w="502" w:type="pct"/>
            <w:tcMar>
              <w:left w:w="51" w:type="dxa"/>
              <w:right w:w="51" w:type="dxa"/>
            </w:tcMar>
            <w:vAlign w:val="center"/>
          </w:tcPr>
          <w:p w14:paraId="4985FB7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-74</w:t>
            </w:r>
          </w:p>
        </w:tc>
        <w:tc>
          <w:tcPr>
            <w:tcW w:w="419" w:type="pct"/>
            <w:tcMar>
              <w:left w:w="51" w:type="dxa"/>
              <w:right w:w="51" w:type="dxa"/>
            </w:tcMar>
            <w:vAlign w:val="center"/>
          </w:tcPr>
          <w:p w14:paraId="0866137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r>
              <w:rPr>
                <w:color w:val="000000" w:themeColor="text1"/>
                <w:kern w:val="0"/>
                <w:sz w:val="21"/>
                <w:szCs w:val="21"/>
                <w:vertAlign w:val="subscript"/>
                <w14:textFill>
                  <w14:solidFill>
                    <w14:schemeClr w14:val="tx1"/>
                  </w14:solidFill>
                </w14:textFill>
              </w:rPr>
              <w:t>A</w:t>
            </w:r>
          </w:p>
        </w:tc>
        <w:tc>
          <w:tcPr>
            <w:tcW w:w="586" w:type="pct"/>
            <w:vAlign w:val="center"/>
          </w:tcPr>
          <w:p w14:paraId="0228B16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w:t>
            </w:r>
          </w:p>
        </w:tc>
        <w:tc>
          <w:tcPr>
            <w:tcW w:w="419" w:type="pct"/>
            <w:vAlign w:val="center"/>
          </w:tcPr>
          <w:p w14:paraId="4487394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33</w:t>
            </w:r>
          </w:p>
        </w:tc>
        <w:tc>
          <w:tcPr>
            <w:tcW w:w="418" w:type="pct"/>
            <w:tcMar>
              <w:left w:w="51" w:type="dxa"/>
              <w:right w:w="51" w:type="dxa"/>
            </w:tcMar>
            <w:vAlign w:val="center"/>
          </w:tcPr>
          <w:p w14:paraId="6DE6C71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T2</w:t>
            </w:r>
          </w:p>
        </w:tc>
        <w:tc>
          <w:tcPr>
            <w:tcW w:w="420" w:type="pct"/>
            <w:vAlign w:val="center"/>
          </w:tcPr>
          <w:p w14:paraId="2422556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ⅡB</w:t>
            </w:r>
          </w:p>
        </w:tc>
        <w:tc>
          <w:tcPr>
            <w:tcW w:w="665" w:type="pct"/>
            <w:tcMar>
              <w:left w:w="51" w:type="dxa"/>
              <w:right w:w="51" w:type="dxa"/>
            </w:tcMar>
            <w:vAlign w:val="center"/>
          </w:tcPr>
          <w:p w14:paraId="2A8A2B5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2.2</w:t>
            </w:r>
          </w:p>
        </w:tc>
      </w:tr>
      <w:tr w14:paraId="5FA2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0EB18591">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4271320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氢气</w:t>
            </w:r>
          </w:p>
        </w:tc>
        <w:tc>
          <w:tcPr>
            <w:tcW w:w="544" w:type="pct"/>
            <w:tcMar>
              <w:left w:w="51" w:type="dxa"/>
              <w:right w:w="51" w:type="dxa"/>
            </w:tcMar>
            <w:vAlign w:val="center"/>
          </w:tcPr>
          <w:p w14:paraId="3498B5C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400</w:t>
            </w:r>
          </w:p>
        </w:tc>
        <w:tc>
          <w:tcPr>
            <w:tcW w:w="502" w:type="pct"/>
            <w:tcMar>
              <w:left w:w="51" w:type="dxa"/>
              <w:right w:w="51" w:type="dxa"/>
            </w:tcMar>
            <w:vAlign w:val="center"/>
          </w:tcPr>
          <w:p w14:paraId="7055087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1BE27F1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p>
        </w:tc>
        <w:tc>
          <w:tcPr>
            <w:tcW w:w="586" w:type="pct"/>
            <w:vAlign w:val="center"/>
          </w:tcPr>
          <w:p w14:paraId="1B417FE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4.1</w:t>
            </w:r>
          </w:p>
        </w:tc>
        <w:tc>
          <w:tcPr>
            <w:tcW w:w="419" w:type="pct"/>
            <w:vAlign w:val="center"/>
          </w:tcPr>
          <w:p w14:paraId="510EB0C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74.1</w:t>
            </w:r>
          </w:p>
        </w:tc>
        <w:tc>
          <w:tcPr>
            <w:tcW w:w="418" w:type="pct"/>
            <w:tcMar>
              <w:left w:w="51" w:type="dxa"/>
              <w:right w:w="51" w:type="dxa"/>
            </w:tcMar>
            <w:vAlign w:val="center"/>
          </w:tcPr>
          <w:p w14:paraId="3A6B2F1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0117FA4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ⅡC</w:t>
            </w:r>
          </w:p>
        </w:tc>
        <w:tc>
          <w:tcPr>
            <w:tcW w:w="665" w:type="pct"/>
            <w:tcMar>
              <w:left w:w="51" w:type="dxa"/>
              <w:right w:w="51" w:type="dxa"/>
            </w:tcMar>
            <w:vAlign w:val="center"/>
          </w:tcPr>
          <w:p w14:paraId="14B41E0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0.09</w:t>
            </w:r>
          </w:p>
        </w:tc>
      </w:tr>
      <w:tr w14:paraId="775C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0D9C710B">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2A6D36B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丙烷</w:t>
            </w:r>
          </w:p>
        </w:tc>
        <w:tc>
          <w:tcPr>
            <w:tcW w:w="544" w:type="pct"/>
            <w:tcMar>
              <w:left w:w="51" w:type="dxa"/>
              <w:right w:w="51" w:type="dxa"/>
            </w:tcMar>
            <w:vAlign w:val="center"/>
          </w:tcPr>
          <w:p w14:paraId="11B0EA6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450</w:t>
            </w:r>
          </w:p>
        </w:tc>
        <w:tc>
          <w:tcPr>
            <w:tcW w:w="502" w:type="pct"/>
            <w:tcMar>
              <w:left w:w="51" w:type="dxa"/>
              <w:right w:w="51" w:type="dxa"/>
            </w:tcMar>
            <w:vAlign w:val="center"/>
          </w:tcPr>
          <w:p w14:paraId="3D3774A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-104</w:t>
            </w:r>
          </w:p>
        </w:tc>
        <w:tc>
          <w:tcPr>
            <w:tcW w:w="419" w:type="pct"/>
            <w:tcMar>
              <w:left w:w="51" w:type="dxa"/>
              <w:right w:w="51" w:type="dxa"/>
            </w:tcMar>
            <w:vAlign w:val="center"/>
          </w:tcPr>
          <w:p w14:paraId="402A6D5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p>
        </w:tc>
        <w:tc>
          <w:tcPr>
            <w:tcW w:w="586" w:type="pct"/>
            <w:vAlign w:val="center"/>
          </w:tcPr>
          <w:p w14:paraId="0F4785C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2.1</w:t>
            </w:r>
          </w:p>
        </w:tc>
        <w:tc>
          <w:tcPr>
            <w:tcW w:w="419" w:type="pct"/>
            <w:vAlign w:val="center"/>
          </w:tcPr>
          <w:p w14:paraId="28AF103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9.5</w:t>
            </w:r>
          </w:p>
        </w:tc>
        <w:tc>
          <w:tcPr>
            <w:tcW w:w="418" w:type="pct"/>
            <w:tcMar>
              <w:left w:w="51" w:type="dxa"/>
              <w:right w:w="51" w:type="dxa"/>
            </w:tcMar>
            <w:vAlign w:val="center"/>
          </w:tcPr>
          <w:p w14:paraId="21FA80A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0A462ED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14301C0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1.56</w:t>
            </w:r>
          </w:p>
        </w:tc>
      </w:tr>
      <w:tr w14:paraId="3B26D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5A923238">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09F7278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丙烯</w:t>
            </w:r>
          </w:p>
        </w:tc>
        <w:tc>
          <w:tcPr>
            <w:tcW w:w="544" w:type="pct"/>
            <w:tcMar>
              <w:left w:w="51" w:type="dxa"/>
              <w:right w:w="51" w:type="dxa"/>
            </w:tcMar>
            <w:vAlign w:val="center"/>
          </w:tcPr>
          <w:p w14:paraId="0A2B578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455</w:t>
            </w:r>
          </w:p>
        </w:tc>
        <w:tc>
          <w:tcPr>
            <w:tcW w:w="502" w:type="pct"/>
            <w:tcMar>
              <w:left w:w="51" w:type="dxa"/>
              <w:right w:w="51" w:type="dxa"/>
            </w:tcMar>
            <w:vAlign w:val="center"/>
          </w:tcPr>
          <w:p w14:paraId="0D5F442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-108</w:t>
            </w:r>
          </w:p>
        </w:tc>
        <w:tc>
          <w:tcPr>
            <w:tcW w:w="419" w:type="pct"/>
            <w:tcMar>
              <w:left w:w="51" w:type="dxa"/>
              <w:right w:w="51" w:type="dxa"/>
            </w:tcMar>
            <w:vAlign w:val="center"/>
          </w:tcPr>
          <w:p w14:paraId="3254470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p>
        </w:tc>
        <w:tc>
          <w:tcPr>
            <w:tcW w:w="586" w:type="pct"/>
            <w:vAlign w:val="center"/>
          </w:tcPr>
          <w:p w14:paraId="65541C9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1.0</w:t>
            </w:r>
          </w:p>
        </w:tc>
        <w:tc>
          <w:tcPr>
            <w:tcW w:w="419" w:type="pct"/>
            <w:vAlign w:val="center"/>
          </w:tcPr>
          <w:p w14:paraId="05B34A7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15.0</w:t>
            </w:r>
          </w:p>
        </w:tc>
        <w:tc>
          <w:tcPr>
            <w:tcW w:w="418" w:type="pct"/>
            <w:tcMar>
              <w:left w:w="51" w:type="dxa"/>
              <w:right w:w="51" w:type="dxa"/>
            </w:tcMar>
            <w:vAlign w:val="center"/>
          </w:tcPr>
          <w:p w14:paraId="4F1F6D4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41FCDC2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3E8CC59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1.48</w:t>
            </w:r>
          </w:p>
        </w:tc>
      </w:tr>
      <w:tr w14:paraId="28C9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3632E7E4">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4A15800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rFonts w:hint="eastAsia"/>
                <w:snapToGrid w:val="0"/>
                <w:color w:val="000000" w:themeColor="text1"/>
                <w:sz w:val="21"/>
                <w:szCs w:val="21"/>
                <w14:textFill>
                  <w14:solidFill>
                    <w14:schemeClr w14:val="tx1"/>
                  </w14:solidFill>
                </w14:textFill>
              </w:rPr>
              <w:t>乙烷</w:t>
            </w:r>
          </w:p>
        </w:tc>
        <w:tc>
          <w:tcPr>
            <w:tcW w:w="544" w:type="pct"/>
            <w:tcMar>
              <w:left w:w="51" w:type="dxa"/>
              <w:right w:w="51" w:type="dxa"/>
            </w:tcMar>
            <w:vAlign w:val="center"/>
          </w:tcPr>
          <w:p w14:paraId="4CAC201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472</w:t>
            </w:r>
          </w:p>
        </w:tc>
        <w:tc>
          <w:tcPr>
            <w:tcW w:w="502" w:type="pct"/>
            <w:tcMar>
              <w:left w:w="51" w:type="dxa"/>
              <w:right w:w="51" w:type="dxa"/>
            </w:tcMar>
            <w:vAlign w:val="center"/>
          </w:tcPr>
          <w:p w14:paraId="4DE9264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rFonts w:hint="eastAsia"/>
                <w:snapToGrid w:val="0"/>
                <w:color w:val="000000" w:themeColor="text1"/>
                <w:sz w:val="21"/>
                <w:szCs w:val="21"/>
                <w14:textFill>
                  <w14:solidFill>
                    <w14:schemeClr w14:val="tx1"/>
                  </w14:solidFill>
                </w14:textFill>
              </w:rPr>
              <w:t>＜</w:t>
            </w:r>
            <w:r>
              <w:rPr>
                <w:snapToGrid w:val="0"/>
                <w:color w:val="000000" w:themeColor="text1"/>
                <w:sz w:val="21"/>
                <w:szCs w:val="21"/>
                <w14:textFill>
                  <w14:solidFill>
                    <w14:schemeClr w14:val="tx1"/>
                  </w14:solidFill>
                </w14:textFill>
              </w:rPr>
              <w:t>-50</w:t>
            </w:r>
          </w:p>
        </w:tc>
        <w:tc>
          <w:tcPr>
            <w:tcW w:w="419" w:type="pct"/>
            <w:tcMar>
              <w:left w:w="51" w:type="dxa"/>
              <w:right w:w="51" w:type="dxa"/>
            </w:tcMar>
            <w:vAlign w:val="center"/>
          </w:tcPr>
          <w:p w14:paraId="4437F7A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rFonts w:hint="eastAsia"/>
                <w:snapToGrid w:val="0"/>
                <w:color w:val="000000" w:themeColor="text1"/>
                <w:sz w:val="21"/>
                <w:szCs w:val="21"/>
                <w14:textFill>
                  <w14:solidFill>
                    <w14:schemeClr w14:val="tx1"/>
                  </w14:solidFill>
                </w14:textFill>
              </w:rPr>
              <w:t>甲</w:t>
            </w:r>
          </w:p>
        </w:tc>
        <w:tc>
          <w:tcPr>
            <w:tcW w:w="586" w:type="pct"/>
            <w:vAlign w:val="center"/>
          </w:tcPr>
          <w:p w14:paraId="4749293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3.0</w:t>
            </w:r>
          </w:p>
        </w:tc>
        <w:tc>
          <w:tcPr>
            <w:tcW w:w="419" w:type="pct"/>
            <w:vAlign w:val="center"/>
          </w:tcPr>
          <w:p w14:paraId="2E4B481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16.0</w:t>
            </w:r>
          </w:p>
        </w:tc>
        <w:tc>
          <w:tcPr>
            <w:tcW w:w="418" w:type="pct"/>
            <w:tcMar>
              <w:left w:w="51" w:type="dxa"/>
              <w:right w:w="51" w:type="dxa"/>
            </w:tcMar>
            <w:vAlign w:val="center"/>
          </w:tcPr>
          <w:p w14:paraId="2464BBA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T1</w:t>
            </w:r>
          </w:p>
        </w:tc>
        <w:tc>
          <w:tcPr>
            <w:tcW w:w="420" w:type="pct"/>
            <w:vAlign w:val="center"/>
          </w:tcPr>
          <w:p w14:paraId="2544C7B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rFonts w:hint="eastAsia"/>
                <w:snapToGrid w:val="0"/>
                <w:color w:val="000000" w:themeColor="text1"/>
                <w:sz w:val="21"/>
                <w:szCs w:val="21"/>
                <w14:textFill>
                  <w14:solidFill>
                    <w14:schemeClr w14:val="tx1"/>
                  </w14:solidFill>
                </w14:textFill>
              </w:rPr>
              <w:t>Ⅱ</w:t>
            </w:r>
            <w:r>
              <w:rPr>
                <w:snapToGrid w:val="0"/>
                <w:color w:val="000000" w:themeColor="text1"/>
                <w:sz w:val="21"/>
                <w:szCs w:val="21"/>
                <w14:textFill>
                  <w14:solidFill>
                    <w14:schemeClr w14:val="tx1"/>
                  </w14:solidFill>
                </w14:textFill>
              </w:rPr>
              <w:t>A</w:t>
            </w:r>
          </w:p>
        </w:tc>
        <w:tc>
          <w:tcPr>
            <w:tcW w:w="665" w:type="pct"/>
            <w:tcMar>
              <w:left w:w="51" w:type="dxa"/>
              <w:right w:w="51" w:type="dxa"/>
            </w:tcMar>
            <w:vAlign w:val="center"/>
          </w:tcPr>
          <w:p w14:paraId="0D4F5DC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1.04</w:t>
            </w:r>
          </w:p>
        </w:tc>
      </w:tr>
      <w:tr w14:paraId="43731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2505DD9A">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59E3265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苯</w:t>
            </w:r>
          </w:p>
        </w:tc>
        <w:tc>
          <w:tcPr>
            <w:tcW w:w="544" w:type="pct"/>
            <w:tcMar>
              <w:left w:w="51" w:type="dxa"/>
              <w:right w:w="51" w:type="dxa"/>
            </w:tcMar>
            <w:vAlign w:val="center"/>
          </w:tcPr>
          <w:p w14:paraId="588DBB2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560</w:t>
            </w:r>
          </w:p>
        </w:tc>
        <w:tc>
          <w:tcPr>
            <w:tcW w:w="502" w:type="pct"/>
            <w:tcMar>
              <w:left w:w="51" w:type="dxa"/>
              <w:right w:w="51" w:type="dxa"/>
            </w:tcMar>
            <w:vAlign w:val="center"/>
          </w:tcPr>
          <w:p w14:paraId="696246E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-11</w:t>
            </w:r>
          </w:p>
        </w:tc>
        <w:tc>
          <w:tcPr>
            <w:tcW w:w="419" w:type="pct"/>
            <w:tcMar>
              <w:left w:w="51" w:type="dxa"/>
              <w:right w:w="51" w:type="dxa"/>
            </w:tcMar>
            <w:vAlign w:val="center"/>
          </w:tcPr>
          <w:p w14:paraId="46B5C24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r>
              <w:rPr>
                <w:color w:val="000000" w:themeColor="text1"/>
                <w:kern w:val="0"/>
                <w:sz w:val="21"/>
                <w:szCs w:val="21"/>
                <w:vertAlign w:val="subscript"/>
                <w14:textFill>
                  <w14:solidFill>
                    <w14:schemeClr w14:val="tx1"/>
                  </w14:solidFill>
                </w14:textFill>
              </w:rPr>
              <w:t>B</w:t>
            </w:r>
          </w:p>
        </w:tc>
        <w:tc>
          <w:tcPr>
            <w:tcW w:w="586" w:type="pct"/>
            <w:vAlign w:val="center"/>
          </w:tcPr>
          <w:p w14:paraId="4951FD7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1.2</w:t>
            </w:r>
          </w:p>
        </w:tc>
        <w:tc>
          <w:tcPr>
            <w:tcW w:w="419" w:type="pct"/>
            <w:vAlign w:val="center"/>
          </w:tcPr>
          <w:p w14:paraId="7B29FEE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8.0</w:t>
            </w:r>
          </w:p>
        </w:tc>
        <w:tc>
          <w:tcPr>
            <w:tcW w:w="418" w:type="pct"/>
            <w:tcMar>
              <w:left w:w="51" w:type="dxa"/>
              <w:right w:w="51" w:type="dxa"/>
            </w:tcMar>
            <w:vAlign w:val="center"/>
          </w:tcPr>
          <w:p w14:paraId="1EDBB84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20E9FD6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0844756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2.77</w:t>
            </w:r>
          </w:p>
        </w:tc>
      </w:tr>
      <w:tr w14:paraId="3B0A1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06B0B0D8">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1225928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甲苯</w:t>
            </w:r>
          </w:p>
        </w:tc>
        <w:tc>
          <w:tcPr>
            <w:tcW w:w="544" w:type="pct"/>
            <w:tcMar>
              <w:left w:w="51" w:type="dxa"/>
              <w:right w:w="51" w:type="dxa"/>
            </w:tcMar>
            <w:vAlign w:val="center"/>
          </w:tcPr>
          <w:p w14:paraId="4C02888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535</w:t>
            </w:r>
          </w:p>
        </w:tc>
        <w:tc>
          <w:tcPr>
            <w:tcW w:w="502" w:type="pct"/>
            <w:tcMar>
              <w:left w:w="51" w:type="dxa"/>
              <w:right w:w="51" w:type="dxa"/>
            </w:tcMar>
            <w:vAlign w:val="center"/>
          </w:tcPr>
          <w:p w14:paraId="7BA035F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4</w:t>
            </w:r>
          </w:p>
        </w:tc>
        <w:tc>
          <w:tcPr>
            <w:tcW w:w="419" w:type="pct"/>
            <w:tcMar>
              <w:left w:w="51" w:type="dxa"/>
              <w:right w:w="51" w:type="dxa"/>
            </w:tcMar>
            <w:vAlign w:val="center"/>
          </w:tcPr>
          <w:p w14:paraId="7322ED8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甲B</w:t>
            </w:r>
          </w:p>
        </w:tc>
        <w:tc>
          <w:tcPr>
            <w:tcW w:w="586" w:type="pct"/>
            <w:vAlign w:val="center"/>
          </w:tcPr>
          <w:p w14:paraId="746DF54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1.2</w:t>
            </w:r>
          </w:p>
        </w:tc>
        <w:tc>
          <w:tcPr>
            <w:tcW w:w="419" w:type="pct"/>
            <w:vAlign w:val="center"/>
          </w:tcPr>
          <w:p w14:paraId="3619BD9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7.0</w:t>
            </w:r>
          </w:p>
        </w:tc>
        <w:tc>
          <w:tcPr>
            <w:tcW w:w="418" w:type="pct"/>
            <w:tcMar>
              <w:left w:w="51" w:type="dxa"/>
              <w:right w:w="51" w:type="dxa"/>
            </w:tcMar>
            <w:vAlign w:val="center"/>
          </w:tcPr>
          <w:p w14:paraId="0DFEAFC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T1</w:t>
            </w:r>
          </w:p>
        </w:tc>
        <w:tc>
          <w:tcPr>
            <w:tcW w:w="420" w:type="pct"/>
            <w:vAlign w:val="center"/>
          </w:tcPr>
          <w:p w14:paraId="02F8DFF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rFonts w:hint="eastAsia" w:ascii="宋体" w:hAnsi="宋体" w:cs="宋体"/>
                <w:snapToGrid w:val="0"/>
                <w:color w:val="000000" w:themeColor="text1"/>
                <w:sz w:val="21"/>
                <w:szCs w:val="21"/>
                <w14:textFill>
                  <w14:solidFill>
                    <w14:schemeClr w14:val="tx1"/>
                  </w14:solidFill>
                </w14:textFill>
              </w:rPr>
              <w:t>Ⅱ</w:t>
            </w:r>
            <w:r>
              <w:rPr>
                <w:snapToGrid w:val="0"/>
                <w:color w:val="000000" w:themeColor="text1"/>
                <w:sz w:val="21"/>
                <w:szCs w:val="21"/>
                <w14:textFill>
                  <w14:solidFill>
                    <w14:schemeClr w14:val="tx1"/>
                  </w14:solidFill>
                </w14:textFill>
              </w:rPr>
              <w:t>A</w:t>
            </w:r>
          </w:p>
        </w:tc>
        <w:tc>
          <w:tcPr>
            <w:tcW w:w="665" w:type="pct"/>
            <w:tcMar>
              <w:left w:w="51" w:type="dxa"/>
              <w:right w:w="51" w:type="dxa"/>
            </w:tcMar>
            <w:vAlign w:val="center"/>
          </w:tcPr>
          <w:p w14:paraId="4DE5D63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snapToGrid w:val="0"/>
                <w:color w:val="000000" w:themeColor="text1"/>
                <w:sz w:val="21"/>
                <w:szCs w:val="21"/>
                <w14:textFill>
                  <w14:solidFill>
                    <w14:schemeClr w14:val="tx1"/>
                  </w14:solidFill>
                </w14:textFill>
              </w:rPr>
              <w:t>3.14</w:t>
            </w:r>
          </w:p>
        </w:tc>
      </w:tr>
      <w:tr w14:paraId="1F28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53CAED9E">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4E77537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硫磺</w:t>
            </w:r>
          </w:p>
        </w:tc>
        <w:tc>
          <w:tcPr>
            <w:tcW w:w="544" w:type="pct"/>
            <w:tcMar>
              <w:left w:w="51" w:type="dxa"/>
              <w:right w:w="51" w:type="dxa"/>
            </w:tcMar>
            <w:vAlign w:val="center"/>
          </w:tcPr>
          <w:p w14:paraId="06095AA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232</w:t>
            </w:r>
          </w:p>
        </w:tc>
        <w:tc>
          <w:tcPr>
            <w:tcW w:w="502" w:type="pct"/>
            <w:tcMar>
              <w:left w:w="51" w:type="dxa"/>
              <w:right w:w="51" w:type="dxa"/>
            </w:tcMar>
            <w:vAlign w:val="center"/>
          </w:tcPr>
          <w:p w14:paraId="20D9DC2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tcMar>
              <w:left w:w="51" w:type="dxa"/>
              <w:right w:w="51" w:type="dxa"/>
            </w:tcMar>
            <w:vAlign w:val="center"/>
          </w:tcPr>
          <w:p w14:paraId="49B0DC4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乙</w:t>
            </w:r>
          </w:p>
        </w:tc>
        <w:tc>
          <w:tcPr>
            <w:tcW w:w="586" w:type="pct"/>
            <w:vAlign w:val="center"/>
          </w:tcPr>
          <w:p w14:paraId="61EFF95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35mg/m</w:t>
            </w:r>
            <w:r>
              <w:rPr>
                <w:color w:val="000000" w:themeColor="text1"/>
                <w:kern w:val="0"/>
                <w:sz w:val="21"/>
                <w:szCs w:val="21"/>
                <w:vertAlign w:val="superscript"/>
                <w14:textFill>
                  <w14:solidFill>
                    <w14:schemeClr w14:val="tx1"/>
                  </w14:solidFill>
                </w14:textFill>
              </w:rPr>
              <w:t>3</w:t>
            </w:r>
          </w:p>
        </w:tc>
        <w:tc>
          <w:tcPr>
            <w:tcW w:w="419" w:type="pct"/>
            <w:vAlign w:val="center"/>
          </w:tcPr>
          <w:p w14:paraId="1B4A419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568A32C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1173346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2A5473E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r>
      <w:tr w14:paraId="14E37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4B221EAF">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132A034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一氧化碳</w:t>
            </w:r>
          </w:p>
        </w:tc>
        <w:tc>
          <w:tcPr>
            <w:tcW w:w="544" w:type="pct"/>
            <w:tcMar>
              <w:left w:w="51" w:type="dxa"/>
              <w:right w:w="51" w:type="dxa"/>
            </w:tcMar>
            <w:vAlign w:val="center"/>
          </w:tcPr>
          <w:p w14:paraId="16B3552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610</w:t>
            </w:r>
          </w:p>
        </w:tc>
        <w:tc>
          <w:tcPr>
            <w:tcW w:w="502" w:type="pct"/>
            <w:tcMar>
              <w:left w:w="51" w:type="dxa"/>
              <w:right w:w="51" w:type="dxa"/>
            </w:tcMar>
            <w:vAlign w:val="center"/>
          </w:tcPr>
          <w:p w14:paraId="0627DE3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355DF4D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乙</w:t>
            </w:r>
          </w:p>
        </w:tc>
        <w:tc>
          <w:tcPr>
            <w:tcW w:w="586" w:type="pct"/>
            <w:vAlign w:val="center"/>
          </w:tcPr>
          <w:p w14:paraId="2E36EF2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12.5</w:t>
            </w:r>
          </w:p>
        </w:tc>
        <w:tc>
          <w:tcPr>
            <w:tcW w:w="419" w:type="pct"/>
            <w:vAlign w:val="center"/>
          </w:tcPr>
          <w:p w14:paraId="585B748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74.2</w:t>
            </w:r>
          </w:p>
        </w:tc>
        <w:tc>
          <w:tcPr>
            <w:tcW w:w="418" w:type="pct"/>
            <w:tcMar>
              <w:left w:w="51" w:type="dxa"/>
              <w:right w:w="51" w:type="dxa"/>
            </w:tcMar>
            <w:vAlign w:val="center"/>
          </w:tcPr>
          <w:p w14:paraId="6F83434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1113644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76AF79B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0.97</w:t>
            </w:r>
          </w:p>
        </w:tc>
      </w:tr>
      <w:tr w14:paraId="7601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6B495184">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1D04EB2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二氧化碳</w:t>
            </w:r>
          </w:p>
        </w:tc>
        <w:tc>
          <w:tcPr>
            <w:tcW w:w="544" w:type="pct"/>
            <w:tcMar>
              <w:left w:w="51" w:type="dxa"/>
              <w:right w:w="51" w:type="dxa"/>
            </w:tcMar>
            <w:vAlign w:val="center"/>
          </w:tcPr>
          <w:p w14:paraId="23F544C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0452ED5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6DF5A43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86" w:type="pct"/>
            <w:vAlign w:val="center"/>
          </w:tcPr>
          <w:p w14:paraId="7E1E857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7035FE5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0E5491A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45DE521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7BA2D8A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2.00</w:t>
            </w:r>
          </w:p>
        </w:tc>
      </w:tr>
      <w:tr w14:paraId="10AE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789C8345">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79218F4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氨</w:t>
            </w:r>
          </w:p>
        </w:tc>
        <w:tc>
          <w:tcPr>
            <w:tcW w:w="544" w:type="pct"/>
            <w:tcMar>
              <w:left w:w="51" w:type="dxa"/>
              <w:right w:w="51" w:type="dxa"/>
            </w:tcMar>
            <w:vAlign w:val="center"/>
          </w:tcPr>
          <w:p w14:paraId="33DE83D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651</w:t>
            </w:r>
          </w:p>
        </w:tc>
        <w:tc>
          <w:tcPr>
            <w:tcW w:w="502" w:type="pct"/>
            <w:tcMar>
              <w:left w:w="51" w:type="dxa"/>
              <w:right w:w="51" w:type="dxa"/>
            </w:tcMar>
            <w:vAlign w:val="center"/>
          </w:tcPr>
          <w:p w14:paraId="71EA30A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13F60C0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乙</w:t>
            </w:r>
          </w:p>
        </w:tc>
        <w:tc>
          <w:tcPr>
            <w:tcW w:w="586" w:type="pct"/>
            <w:vAlign w:val="center"/>
          </w:tcPr>
          <w:p w14:paraId="76B86AA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15.7</w:t>
            </w:r>
          </w:p>
        </w:tc>
        <w:tc>
          <w:tcPr>
            <w:tcW w:w="419" w:type="pct"/>
            <w:vAlign w:val="center"/>
          </w:tcPr>
          <w:p w14:paraId="5DEDECB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27.4</w:t>
            </w:r>
          </w:p>
        </w:tc>
        <w:tc>
          <w:tcPr>
            <w:tcW w:w="418" w:type="pct"/>
            <w:tcMar>
              <w:left w:w="51" w:type="dxa"/>
              <w:right w:w="51" w:type="dxa"/>
            </w:tcMar>
            <w:vAlign w:val="center"/>
          </w:tcPr>
          <w:p w14:paraId="57A30B7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1351B77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3749F72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0.6</w:t>
            </w:r>
          </w:p>
        </w:tc>
      </w:tr>
      <w:tr w14:paraId="3B91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5A3212A6">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28B33F5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硫化氢</w:t>
            </w:r>
          </w:p>
        </w:tc>
        <w:tc>
          <w:tcPr>
            <w:tcW w:w="544" w:type="pct"/>
            <w:tcMar>
              <w:left w:w="51" w:type="dxa"/>
              <w:right w:w="51" w:type="dxa"/>
            </w:tcMar>
            <w:vAlign w:val="center"/>
          </w:tcPr>
          <w:p w14:paraId="4C636DB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260</w:t>
            </w:r>
          </w:p>
        </w:tc>
        <w:tc>
          <w:tcPr>
            <w:tcW w:w="502" w:type="pct"/>
            <w:tcMar>
              <w:left w:w="51" w:type="dxa"/>
              <w:right w:w="51" w:type="dxa"/>
            </w:tcMar>
            <w:vAlign w:val="center"/>
          </w:tcPr>
          <w:p w14:paraId="2A0F86E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2D54094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p>
        </w:tc>
        <w:tc>
          <w:tcPr>
            <w:tcW w:w="586" w:type="pct"/>
            <w:vAlign w:val="center"/>
          </w:tcPr>
          <w:p w14:paraId="0E87ED5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4.0</w:t>
            </w:r>
          </w:p>
        </w:tc>
        <w:tc>
          <w:tcPr>
            <w:tcW w:w="419" w:type="pct"/>
            <w:vAlign w:val="center"/>
          </w:tcPr>
          <w:p w14:paraId="3138EEE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46</w:t>
            </w:r>
          </w:p>
        </w:tc>
        <w:tc>
          <w:tcPr>
            <w:tcW w:w="418" w:type="pct"/>
            <w:tcMar>
              <w:left w:w="51" w:type="dxa"/>
              <w:right w:w="51" w:type="dxa"/>
            </w:tcMar>
            <w:vAlign w:val="center"/>
          </w:tcPr>
          <w:p w14:paraId="15D1E54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T3</w:t>
            </w:r>
          </w:p>
        </w:tc>
        <w:tc>
          <w:tcPr>
            <w:tcW w:w="420" w:type="pct"/>
            <w:vAlign w:val="center"/>
          </w:tcPr>
          <w:p w14:paraId="4B1ACC1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ⅡB</w:t>
            </w:r>
          </w:p>
        </w:tc>
        <w:tc>
          <w:tcPr>
            <w:tcW w:w="665" w:type="pct"/>
            <w:tcMar>
              <w:left w:w="51" w:type="dxa"/>
              <w:right w:w="51" w:type="dxa"/>
            </w:tcMar>
            <w:vAlign w:val="center"/>
          </w:tcPr>
          <w:p w14:paraId="4A0F0F3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1.16</w:t>
            </w:r>
          </w:p>
        </w:tc>
      </w:tr>
      <w:tr w14:paraId="516E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1FD2DC87">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29904DC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二氧化硫</w:t>
            </w:r>
          </w:p>
        </w:tc>
        <w:tc>
          <w:tcPr>
            <w:tcW w:w="544" w:type="pct"/>
            <w:tcMar>
              <w:left w:w="51" w:type="dxa"/>
              <w:right w:w="51" w:type="dxa"/>
            </w:tcMar>
            <w:vAlign w:val="center"/>
          </w:tcPr>
          <w:p w14:paraId="2576038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211775D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7CEA6E6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86" w:type="pct"/>
            <w:vAlign w:val="center"/>
          </w:tcPr>
          <w:p w14:paraId="3452C80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2248B9B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3049E27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5D12CEB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7048476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1.43</w:t>
            </w:r>
          </w:p>
        </w:tc>
      </w:tr>
      <w:tr w14:paraId="076E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1F1CD80C">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02B972D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甲醇</w:t>
            </w:r>
          </w:p>
        </w:tc>
        <w:tc>
          <w:tcPr>
            <w:tcW w:w="544" w:type="pct"/>
            <w:tcMar>
              <w:left w:w="51" w:type="dxa"/>
              <w:right w:w="51" w:type="dxa"/>
            </w:tcMar>
            <w:vAlign w:val="center"/>
          </w:tcPr>
          <w:p w14:paraId="235FCE1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385</w:t>
            </w:r>
          </w:p>
        </w:tc>
        <w:tc>
          <w:tcPr>
            <w:tcW w:w="502" w:type="pct"/>
            <w:tcMar>
              <w:left w:w="51" w:type="dxa"/>
              <w:right w:w="51" w:type="dxa"/>
            </w:tcMar>
            <w:vAlign w:val="center"/>
          </w:tcPr>
          <w:p w14:paraId="2551463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11</w:t>
            </w:r>
          </w:p>
        </w:tc>
        <w:tc>
          <w:tcPr>
            <w:tcW w:w="419" w:type="pct"/>
            <w:tcMar>
              <w:left w:w="51" w:type="dxa"/>
              <w:right w:w="51" w:type="dxa"/>
            </w:tcMar>
            <w:vAlign w:val="center"/>
          </w:tcPr>
          <w:p w14:paraId="2789B68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r>
              <w:rPr>
                <w:color w:val="000000" w:themeColor="text1"/>
                <w:kern w:val="0"/>
                <w:sz w:val="21"/>
                <w:szCs w:val="21"/>
                <w:vertAlign w:val="subscript"/>
                <w14:textFill>
                  <w14:solidFill>
                    <w14:schemeClr w14:val="tx1"/>
                  </w14:solidFill>
                </w14:textFill>
              </w:rPr>
              <w:t>B</w:t>
            </w:r>
          </w:p>
        </w:tc>
        <w:tc>
          <w:tcPr>
            <w:tcW w:w="586" w:type="pct"/>
            <w:vAlign w:val="center"/>
          </w:tcPr>
          <w:p w14:paraId="515E5EF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5.5</w:t>
            </w:r>
          </w:p>
        </w:tc>
        <w:tc>
          <w:tcPr>
            <w:tcW w:w="419" w:type="pct"/>
            <w:vAlign w:val="center"/>
          </w:tcPr>
          <w:p w14:paraId="56BB0BE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44</w:t>
            </w:r>
          </w:p>
        </w:tc>
        <w:tc>
          <w:tcPr>
            <w:tcW w:w="418" w:type="pct"/>
            <w:tcMar>
              <w:left w:w="51" w:type="dxa"/>
              <w:right w:w="51" w:type="dxa"/>
            </w:tcMar>
            <w:vAlign w:val="center"/>
          </w:tcPr>
          <w:p w14:paraId="1EF9091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T2</w:t>
            </w:r>
          </w:p>
        </w:tc>
        <w:tc>
          <w:tcPr>
            <w:tcW w:w="420" w:type="pct"/>
            <w:vAlign w:val="center"/>
          </w:tcPr>
          <w:p w14:paraId="3B356C5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306D0A4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1.10</w:t>
            </w:r>
          </w:p>
        </w:tc>
      </w:tr>
      <w:tr w14:paraId="1400D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2126DD1E">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35D228C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MDEA</w:t>
            </w:r>
          </w:p>
        </w:tc>
        <w:tc>
          <w:tcPr>
            <w:tcW w:w="544" w:type="pct"/>
            <w:tcMar>
              <w:left w:w="51" w:type="dxa"/>
              <w:right w:w="51" w:type="dxa"/>
            </w:tcMar>
            <w:vAlign w:val="center"/>
          </w:tcPr>
          <w:p w14:paraId="38B84F5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410</w:t>
            </w:r>
          </w:p>
        </w:tc>
        <w:tc>
          <w:tcPr>
            <w:tcW w:w="502" w:type="pct"/>
            <w:tcMar>
              <w:left w:w="51" w:type="dxa"/>
              <w:right w:w="51" w:type="dxa"/>
            </w:tcMar>
            <w:vAlign w:val="center"/>
          </w:tcPr>
          <w:p w14:paraId="67A12E3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sz w:val="21"/>
                <w:szCs w:val="21"/>
                <w14:textFill>
                  <w14:solidFill>
                    <w14:schemeClr w14:val="tx1"/>
                  </w14:solidFill>
                </w14:textFill>
              </w:rPr>
              <w:t>93</w:t>
            </w:r>
          </w:p>
        </w:tc>
        <w:tc>
          <w:tcPr>
            <w:tcW w:w="419" w:type="pct"/>
            <w:tcMar>
              <w:left w:w="51" w:type="dxa"/>
              <w:right w:w="51" w:type="dxa"/>
            </w:tcMar>
            <w:vAlign w:val="center"/>
          </w:tcPr>
          <w:p w14:paraId="31E97F0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丙</w:t>
            </w:r>
          </w:p>
        </w:tc>
        <w:tc>
          <w:tcPr>
            <w:tcW w:w="586" w:type="pct"/>
            <w:vAlign w:val="center"/>
          </w:tcPr>
          <w:p w14:paraId="0A5770B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2.5</w:t>
            </w:r>
          </w:p>
        </w:tc>
        <w:tc>
          <w:tcPr>
            <w:tcW w:w="419" w:type="pct"/>
            <w:vAlign w:val="center"/>
          </w:tcPr>
          <w:p w14:paraId="6CFFB35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13.1</w:t>
            </w:r>
          </w:p>
        </w:tc>
        <w:tc>
          <w:tcPr>
            <w:tcW w:w="418" w:type="pct"/>
            <w:tcMar>
              <w:left w:w="51" w:type="dxa"/>
              <w:right w:w="51" w:type="dxa"/>
            </w:tcMar>
            <w:vAlign w:val="center"/>
          </w:tcPr>
          <w:p w14:paraId="07EF69E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74E943A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7DBCAF7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2.11</w:t>
            </w:r>
          </w:p>
        </w:tc>
      </w:tr>
      <w:tr w14:paraId="76C16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7D8C02AA">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18B1872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MTBE</w:t>
            </w:r>
          </w:p>
        </w:tc>
        <w:tc>
          <w:tcPr>
            <w:tcW w:w="544" w:type="pct"/>
            <w:tcMar>
              <w:left w:w="51" w:type="dxa"/>
              <w:right w:w="51" w:type="dxa"/>
            </w:tcMar>
            <w:vAlign w:val="center"/>
          </w:tcPr>
          <w:p w14:paraId="7A3AB6D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sz w:val="21"/>
                <w:szCs w:val="21"/>
                <w14:textFill>
                  <w14:solidFill>
                    <w14:schemeClr w14:val="tx1"/>
                  </w14:solidFill>
                </w14:textFill>
              </w:rPr>
              <w:t>191.7</w:t>
            </w:r>
          </w:p>
        </w:tc>
        <w:tc>
          <w:tcPr>
            <w:tcW w:w="502" w:type="pct"/>
            <w:tcMar>
              <w:left w:w="51" w:type="dxa"/>
              <w:right w:w="51" w:type="dxa"/>
            </w:tcMar>
            <w:vAlign w:val="center"/>
          </w:tcPr>
          <w:p w14:paraId="654639F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-10</w:t>
            </w:r>
          </w:p>
        </w:tc>
        <w:tc>
          <w:tcPr>
            <w:tcW w:w="419" w:type="pct"/>
            <w:tcMar>
              <w:left w:w="51" w:type="dxa"/>
              <w:right w:w="51" w:type="dxa"/>
            </w:tcMar>
            <w:vAlign w:val="center"/>
          </w:tcPr>
          <w:p w14:paraId="5B07FAA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r>
              <w:rPr>
                <w:color w:val="000000" w:themeColor="text1"/>
                <w:kern w:val="0"/>
                <w:sz w:val="21"/>
                <w:szCs w:val="21"/>
                <w:vertAlign w:val="subscript"/>
                <w14:textFill>
                  <w14:solidFill>
                    <w14:schemeClr w14:val="tx1"/>
                  </w14:solidFill>
                </w14:textFill>
              </w:rPr>
              <w:t>B</w:t>
            </w:r>
          </w:p>
        </w:tc>
        <w:tc>
          <w:tcPr>
            <w:tcW w:w="586" w:type="pct"/>
            <w:vAlign w:val="center"/>
          </w:tcPr>
          <w:p w14:paraId="73ADDA1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w:t>
            </w:r>
          </w:p>
        </w:tc>
        <w:tc>
          <w:tcPr>
            <w:tcW w:w="419" w:type="pct"/>
            <w:vAlign w:val="center"/>
          </w:tcPr>
          <w:p w14:paraId="3C02DA4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15.1</w:t>
            </w:r>
          </w:p>
        </w:tc>
        <w:tc>
          <w:tcPr>
            <w:tcW w:w="418" w:type="pct"/>
            <w:tcMar>
              <w:left w:w="51" w:type="dxa"/>
              <w:right w:w="51" w:type="dxa"/>
            </w:tcMar>
            <w:vAlign w:val="center"/>
          </w:tcPr>
          <w:p w14:paraId="465804F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431B5A5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666A6F7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r>
      <w:tr w14:paraId="7D20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57857A93">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632DDCC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氮气</w:t>
            </w:r>
          </w:p>
        </w:tc>
        <w:tc>
          <w:tcPr>
            <w:tcW w:w="544" w:type="pct"/>
            <w:tcMar>
              <w:left w:w="51" w:type="dxa"/>
              <w:right w:w="51" w:type="dxa"/>
            </w:tcMar>
            <w:vAlign w:val="center"/>
          </w:tcPr>
          <w:p w14:paraId="6484E1B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77098DE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tcMar>
              <w:left w:w="51" w:type="dxa"/>
              <w:right w:w="51" w:type="dxa"/>
            </w:tcMar>
            <w:vAlign w:val="center"/>
          </w:tcPr>
          <w:p w14:paraId="79DD124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86" w:type="pct"/>
            <w:vAlign w:val="center"/>
          </w:tcPr>
          <w:p w14:paraId="7272870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5DBFD42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1269C9B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3851DC1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5131989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1.25</w:t>
            </w:r>
          </w:p>
        </w:tc>
      </w:tr>
      <w:tr w14:paraId="61FF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0E9BA2FE">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0E63B2D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盐酸</w:t>
            </w:r>
          </w:p>
        </w:tc>
        <w:tc>
          <w:tcPr>
            <w:tcW w:w="544" w:type="pct"/>
            <w:tcMar>
              <w:left w:w="51" w:type="dxa"/>
              <w:right w:w="51" w:type="dxa"/>
            </w:tcMar>
            <w:vAlign w:val="center"/>
          </w:tcPr>
          <w:p w14:paraId="21CFFC5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6F7FCBB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tcMar>
              <w:left w:w="51" w:type="dxa"/>
              <w:right w:w="51" w:type="dxa"/>
            </w:tcMar>
            <w:vAlign w:val="center"/>
          </w:tcPr>
          <w:p w14:paraId="765FD76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86" w:type="pct"/>
            <w:vAlign w:val="center"/>
          </w:tcPr>
          <w:p w14:paraId="09EBB92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11DDD0B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5655159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5F3C276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0D46020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r>
      <w:tr w14:paraId="5989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45AC1065">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57313BA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硫酸</w:t>
            </w:r>
          </w:p>
        </w:tc>
        <w:tc>
          <w:tcPr>
            <w:tcW w:w="544" w:type="pct"/>
            <w:tcMar>
              <w:left w:w="51" w:type="dxa"/>
              <w:right w:w="51" w:type="dxa"/>
            </w:tcMar>
            <w:vAlign w:val="center"/>
          </w:tcPr>
          <w:p w14:paraId="5EFDFD5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265C2A8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tcMar>
              <w:left w:w="51" w:type="dxa"/>
              <w:right w:w="51" w:type="dxa"/>
            </w:tcMar>
            <w:vAlign w:val="center"/>
          </w:tcPr>
          <w:p w14:paraId="44D1DE2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86" w:type="pct"/>
            <w:vAlign w:val="center"/>
          </w:tcPr>
          <w:p w14:paraId="280DB08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2FAA31A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3D058FB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1A4B411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7A1CF2F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r>
      <w:tr w14:paraId="5128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471DCAAA">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038A74A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三乙基铝</w:t>
            </w:r>
          </w:p>
        </w:tc>
        <w:tc>
          <w:tcPr>
            <w:tcW w:w="544" w:type="pct"/>
            <w:tcMar>
              <w:left w:w="51" w:type="dxa"/>
              <w:right w:w="51" w:type="dxa"/>
            </w:tcMar>
            <w:vAlign w:val="center"/>
          </w:tcPr>
          <w:p w14:paraId="0E74249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16EE8E0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tcMar>
              <w:left w:w="51" w:type="dxa"/>
              <w:right w:w="51" w:type="dxa"/>
            </w:tcMar>
            <w:vAlign w:val="center"/>
          </w:tcPr>
          <w:p w14:paraId="52B09DA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甲</w:t>
            </w:r>
          </w:p>
        </w:tc>
        <w:tc>
          <w:tcPr>
            <w:tcW w:w="586" w:type="pct"/>
            <w:vAlign w:val="center"/>
          </w:tcPr>
          <w:p w14:paraId="3E3D1DD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576B08A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7A28514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586FF04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65865D5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r>
      <w:tr w14:paraId="0C84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4EC5BE02">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750458E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天然气</w:t>
            </w:r>
          </w:p>
        </w:tc>
        <w:tc>
          <w:tcPr>
            <w:tcW w:w="544" w:type="pct"/>
            <w:tcMar>
              <w:left w:w="51" w:type="dxa"/>
              <w:right w:w="51" w:type="dxa"/>
            </w:tcMar>
            <w:vAlign w:val="center"/>
          </w:tcPr>
          <w:p w14:paraId="4AB41F9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538</w:t>
            </w:r>
          </w:p>
        </w:tc>
        <w:tc>
          <w:tcPr>
            <w:tcW w:w="502" w:type="pct"/>
            <w:tcMar>
              <w:left w:w="51" w:type="dxa"/>
              <w:right w:w="51" w:type="dxa"/>
            </w:tcMar>
            <w:vAlign w:val="center"/>
          </w:tcPr>
          <w:p w14:paraId="7D1DD6C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3DAA3AB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p>
        </w:tc>
        <w:tc>
          <w:tcPr>
            <w:tcW w:w="586" w:type="pct"/>
            <w:vAlign w:val="center"/>
          </w:tcPr>
          <w:p w14:paraId="69F76D1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5.3</w:t>
            </w:r>
          </w:p>
        </w:tc>
        <w:tc>
          <w:tcPr>
            <w:tcW w:w="419" w:type="pct"/>
            <w:vAlign w:val="center"/>
          </w:tcPr>
          <w:p w14:paraId="1F216B0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15.0</w:t>
            </w:r>
          </w:p>
        </w:tc>
        <w:tc>
          <w:tcPr>
            <w:tcW w:w="418" w:type="pct"/>
            <w:tcMar>
              <w:left w:w="51" w:type="dxa"/>
              <w:right w:w="51" w:type="dxa"/>
            </w:tcMar>
            <w:vAlign w:val="center"/>
          </w:tcPr>
          <w:p w14:paraId="0A93A80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60179E7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ⅡA</w:t>
            </w:r>
          </w:p>
        </w:tc>
        <w:tc>
          <w:tcPr>
            <w:tcW w:w="665" w:type="pct"/>
            <w:tcMar>
              <w:left w:w="51" w:type="dxa"/>
              <w:right w:w="51" w:type="dxa"/>
            </w:tcMar>
            <w:vAlign w:val="center"/>
          </w:tcPr>
          <w:p w14:paraId="6EFDB7B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0.72</w:t>
            </w:r>
          </w:p>
        </w:tc>
      </w:tr>
      <w:tr w14:paraId="4241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5159D5CA">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392B731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干气</w:t>
            </w:r>
          </w:p>
        </w:tc>
        <w:tc>
          <w:tcPr>
            <w:tcW w:w="544" w:type="pct"/>
            <w:tcMar>
              <w:left w:w="51" w:type="dxa"/>
              <w:right w:w="51" w:type="dxa"/>
            </w:tcMar>
            <w:vAlign w:val="center"/>
          </w:tcPr>
          <w:p w14:paraId="278FC30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540</w:t>
            </w:r>
          </w:p>
        </w:tc>
        <w:tc>
          <w:tcPr>
            <w:tcW w:w="502" w:type="pct"/>
            <w:tcMar>
              <w:left w:w="51" w:type="dxa"/>
              <w:right w:w="51" w:type="dxa"/>
            </w:tcMar>
            <w:vAlign w:val="center"/>
          </w:tcPr>
          <w:p w14:paraId="489F861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气体</w:t>
            </w:r>
          </w:p>
        </w:tc>
        <w:tc>
          <w:tcPr>
            <w:tcW w:w="419" w:type="pct"/>
            <w:tcMar>
              <w:left w:w="51" w:type="dxa"/>
              <w:right w:w="51" w:type="dxa"/>
            </w:tcMar>
            <w:vAlign w:val="center"/>
          </w:tcPr>
          <w:p w14:paraId="6D096F5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w:t>
            </w:r>
          </w:p>
        </w:tc>
        <w:tc>
          <w:tcPr>
            <w:tcW w:w="586" w:type="pct"/>
            <w:vAlign w:val="center"/>
          </w:tcPr>
          <w:p w14:paraId="635D227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5.0</w:t>
            </w:r>
          </w:p>
        </w:tc>
        <w:tc>
          <w:tcPr>
            <w:tcW w:w="419" w:type="pct"/>
            <w:vAlign w:val="center"/>
          </w:tcPr>
          <w:p w14:paraId="1F8AB47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15.0</w:t>
            </w:r>
          </w:p>
        </w:tc>
        <w:tc>
          <w:tcPr>
            <w:tcW w:w="418" w:type="pct"/>
            <w:tcMar>
              <w:left w:w="51" w:type="dxa"/>
              <w:right w:w="51" w:type="dxa"/>
            </w:tcMar>
            <w:vAlign w:val="center"/>
          </w:tcPr>
          <w:p w14:paraId="7317D51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T1</w:t>
            </w:r>
          </w:p>
        </w:tc>
        <w:tc>
          <w:tcPr>
            <w:tcW w:w="420" w:type="pct"/>
            <w:vAlign w:val="center"/>
          </w:tcPr>
          <w:p w14:paraId="2067B8B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p>
        </w:tc>
        <w:tc>
          <w:tcPr>
            <w:tcW w:w="665" w:type="pct"/>
            <w:tcMar>
              <w:left w:w="51" w:type="dxa"/>
              <w:right w:w="51" w:type="dxa"/>
            </w:tcMar>
            <w:vAlign w:val="center"/>
          </w:tcPr>
          <w:p w14:paraId="5117B7B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0.77</w:t>
            </w:r>
          </w:p>
        </w:tc>
      </w:tr>
      <w:tr w14:paraId="63923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3525E303">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67CECA3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氢氧化钠</w:t>
            </w:r>
          </w:p>
        </w:tc>
        <w:tc>
          <w:tcPr>
            <w:tcW w:w="544" w:type="pct"/>
            <w:tcMar>
              <w:left w:w="51" w:type="dxa"/>
              <w:right w:w="51" w:type="dxa"/>
            </w:tcMar>
            <w:vAlign w:val="center"/>
          </w:tcPr>
          <w:p w14:paraId="7CF1201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3D5927D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tcMar>
              <w:left w:w="51" w:type="dxa"/>
              <w:right w:w="51" w:type="dxa"/>
            </w:tcMar>
            <w:vAlign w:val="center"/>
          </w:tcPr>
          <w:p w14:paraId="43DA7F5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86" w:type="pct"/>
            <w:vAlign w:val="center"/>
          </w:tcPr>
          <w:p w14:paraId="1E3835F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35C5DA0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5BE1CCE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058D10E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5BCB633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r>
      <w:tr w14:paraId="78F6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15" w:type="pct"/>
            <w:vAlign w:val="center"/>
          </w:tcPr>
          <w:p w14:paraId="65C9CD57">
            <w:pPr>
              <w:keepNext w:val="0"/>
              <w:keepLines w:val="0"/>
              <w:pageBreakBefore w:val="0"/>
              <w:widowControl/>
              <w:numPr>
                <w:ilvl w:val="0"/>
                <w:numId w:val="3"/>
              </w:numPr>
              <w:kinsoku/>
              <w:wordWrap/>
              <w:overflowPunct/>
              <w:topLinePunct w:val="0"/>
              <w:autoSpaceDE/>
              <w:autoSpaceDN/>
              <w:bidi w:val="0"/>
              <w:adjustRightInd/>
              <w:snapToGrid/>
              <w:spacing w:after="0" w:line="360" w:lineRule="exact"/>
              <w:ind w:firstLineChars="0"/>
              <w:jc w:val="center"/>
              <w:textAlignment w:val="auto"/>
              <w:rPr>
                <w:color w:val="000000" w:themeColor="text1"/>
                <w:kern w:val="0"/>
                <w:sz w:val="21"/>
                <w:szCs w:val="21"/>
                <w14:textFill>
                  <w14:solidFill>
                    <w14:schemeClr w14:val="tx1"/>
                  </w14:solidFill>
                </w14:textFill>
              </w:rPr>
            </w:pPr>
          </w:p>
        </w:tc>
        <w:tc>
          <w:tcPr>
            <w:tcW w:w="712" w:type="pct"/>
            <w:tcMar>
              <w:left w:w="51" w:type="dxa"/>
              <w:right w:w="51" w:type="dxa"/>
            </w:tcMar>
            <w:vAlign w:val="center"/>
          </w:tcPr>
          <w:p w14:paraId="52278EA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焦炭</w:t>
            </w:r>
          </w:p>
        </w:tc>
        <w:tc>
          <w:tcPr>
            <w:tcW w:w="544" w:type="pct"/>
            <w:tcMar>
              <w:left w:w="51" w:type="dxa"/>
              <w:right w:w="51" w:type="dxa"/>
            </w:tcMar>
            <w:vAlign w:val="center"/>
          </w:tcPr>
          <w:p w14:paraId="72DD3D4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02" w:type="pct"/>
            <w:tcMar>
              <w:left w:w="51" w:type="dxa"/>
              <w:right w:w="51" w:type="dxa"/>
            </w:tcMar>
            <w:vAlign w:val="center"/>
          </w:tcPr>
          <w:p w14:paraId="6D8ADD9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tcMar>
              <w:left w:w="51" w:type="dxa"/>
              <w:right w:w="51" w:type="dxa"/>
            </w:tcMar>
            <w:vAlign w:val="center"/>
          </w:tcPr>
          <w:p w14:paraId="4EE5C43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586" w:type="pct"/>
            <w:vAlign w:val="center"/>
          </w:tcPr>
          <w:p w14:paraId="7B03904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9" w:type="pct"/>
            <w:vAlign w:val="center"/>
          </w:tcPr>
          <w:p w14:paraId="3CEE91C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18" w:type="pct"/>
            <w:tcMar>
              <w:left w:w="51" w:type="dxa"/>
              <w:right w:w="51" w:type="dxa"/>
            </w:tcMar>
            <w:vAlign w:val="center"/>
          </w:tcPr>
          <w:p w14:paraId="5B1C1C3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420" w:type="pct"/>
            <w:vAlign w:val="center"/>
          </w:tcPr>
          <w:p w14:paraId="05AE78A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c>
          <w:tcPr>
            <w:tcW w:w="665" w:type="pct"/>
            <w:tcMar>
              <w:left w:w="51" w:type="dxa"/>
              <w:right w:w="51" w:type="dxa"/>
            </w:tcMar>
            <w:vAlign w:val="center"/>
          </w:tcPr>
          <w:p w14:paraId="0C062AE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w:t>
            </w:r>
          </w:p>
        </w:tc>
      </w:tr>
    </w:tbl>
    <w:p w14:paraId="5EA35FAB">
      <w:pPr>
        <w:widowControl/>
        <w:adjustRightInd w:val="0"/>
        <w:spacing w:after="0" w:line="360" w:lineRule="exact"/>
        <w:ind w:firstLine="0" w:firstLineChars="0"/>
        <w:jc w:val="left"/>
        <w:rPr>
          <w:rFonts w:hint="eastAsia" w:ascii="Calibri" w:hAnsi="Calibri" w:cs="Times New Roman"/>
          <w:kern w:val="0"/>
          <w:sz w:val="21"/>
          <w:szCs w:val="21"/>
        </w:rPr>
      </w:pPr>
      <w:r>
        <w:rPr>
          <w:rFonts w:hint="eastAsia" w:ascii="Calibri" w:hAnsi="Calibri" w:cs="Times New Roman"/>
          <w:kern w:val="0"/>
          <w:sz w:val="21"/>
          <w:szCs w:val="21"/>
        </w:rPr>
        <w:t>表中火灾、爆炸危险性数据主要来源于：</w:t>
      </w:r>
    </w:p>
    <w:p w14:paraId="4114E983">
      <w:pPr>
        <w:widowControl/>
        <w:adjustRightInd w:val="0"/>
        <w:spacing w:after="0" w:line="360" w:lineRule="exact"/>
        <w:ind w:firstLine="0" w:firstLineChars="0"/>
        <w:jc w:val="left"/>
        <w:rPr>
          <w:rFonts w:hint="eastAsia" w:ascii="Calibri" w:hAnsi="Calibri" w:cs="Times New Roman"/>
          <w:kern w:val="0"/>
          <w:sz w:val="21"/>
          <w:szCs w:val="21"/>
        </w:rPr>
      </w:pPr>
      <w:r>
        <w:rPr>
          <w:rFonts w:hint="eastAsia" w:ascii="Calibri" w:hAnsi="Calibri" w:cs="Times New Roman"/>
          <w:kern w:val="0"/>
          <w:sz w:val="21"/>
          <w:szCs w:val="21"/>
        </w:rPr>
        <w:t>①《石油化工可燃气体和有毒气体检测报警设计标准》（GB/T50493-2019）；</w:t>
      </w:r>
    </w:p>
    <w:p w14:paraId="32FF44D0">
      <w:pPr>
        <w:widowControl/>
        <w:adjustRightInd w:val="0"/>
        <w:spacing w:after="0" w:line="360" w:lineRule="exact"/>
        <w:ind w:firstLine="0" w:firstLineChars="0"/>
        <w:jc w:val="left"/>
        <w:rPr>
          <w:rFonts w:hint="eastAsia" w:ascii="Calibri" w:hAnsi="Calibri" w:cs="Times New Roman"/>
          <w:kern w:val="0"/>
          <w:sz w:val="21"/>
          <w:szCs w:val="21"/>
        </w:rPr>
      </w:pPr>
      <w:r>
        <w:rPr>
          <w:rFonts w:hint="eastAsia" w:ascii="Calibri" w:hAnsi="Calibri" w:cs="Times New Roman"/>
          <w:kern w:val="0"/>
          <w:sz w:val="21"/>
          <w:szCs w:val="21"/>
        </w:rPr>
        <w:t>②《压力容器中化学介质毒性危害和爆炸危险程度分类标准》（HG/T 20660-2017）；</w:t>
      </w:r>
    </w:p>
    <w:p w14:paraId="4B23ABE2">
      <w:pPr>
        <w:widowControl/>
        <w:adjustRightInd w:val="0"/>
        <w:spacing w:after="0" w:line="360" w:lineRule="exact"/>
        <w:ind w:firstLine="0" w:firstLineChars="0"/>
        <w:jc w:val="left"/>
        <w:rPr>
          <w:rFonts w:hint="eastAsia" w:ascii="Calibri" w:hAnsi="Calibri" w:cs="Times New Roman"/>
          <w:kern w:val="0"/>
          <w:sz w:val="21"/>
          <w:szCs w:val="21"/>
        </w:rPr>
      </w:pPr>
      <w:r>
        <w:rPr>
          <w:rFonts w:hint="eastAsia" w:ascii="Calibri" w:hAnsi="Calibri" w:cs="Times New Roman"/>
          <w:kern w:val="0"/>
          <w:sz w:val="21"/>
          <w:szCs w:val="21"/>
        </w:rPr>
        <w:t>③《石油化工原料与产品安全手册》（</w:t>
      </w:r>
      <w:r>
        <w:rPr>
          <w:rFonts w:hint="eastAsia" w:ascii="Calibri" w:hAnsi="Calibri" w:cs="Times New Roman"/>
          <w:kern w:val="0"/>
          <w:sz w:val="21"/>
          <w:szCs w:val="21"/>
        </w:rPr>
        <w:fldChar w:fldCharType="begin"/>
      </w:r>
      <w:r>
        <w:rPr>
          <w:rFonts w:hint="eastAsia" w:ascii="Calibri" w:hAnsi="Calibri" w:cs="Times New Roman"/>
          <w:kern w:val="0"/>
          <w:sz w:val="21"/>
          <w:szCs w:val="21"/>
        </w:rPr>
        <w:instrText xml:space="preserve"> HYPERLINK "http://www.golden-book.com/search/search.asp?key1=%D6%D0%B9%FA%CA%AF%BB%AF%B3%F6%B0%E6%C9%E7" </w:instrText>
      </w:r>
      <w:r>
        <w:rPr>
          <w:rFonts w:hint="eastAsia" w:ascii="Calibri" w:hAnsi="Calibri" w:cs="Times New Roman"/>
          <w:kern w:val="0"/>
          <w:sz w:val="21"/>
          <w:szCs w:val="21"/>
        </w:rPr>
        <w:fldChar w:fldCharType="separate"/>
      </w:r>
      <w:r>
        <w:rPr>
          <w:rFonts w:hint="eastAsia" w:ascii="Calibri" w:hAnsi="Calibri" w:cs="Times New Roman"/>
          <w:kern w:val="0"/>
          <w:sz w:val="21"/>
          <w:szCs w:val="21"/>
        </w:rPr>
        <w:t>中国石化出版社</w:t>
      </w:r>
      <w:r>
        <w:rPr>
          <w:rFonts w:hint="eastAsia" w:ascii="Calibri" w:hAnsi="Calibri" w:cs="Times New Roman"/>
          <w:kern w:val="0"/>
          <w:sz w:val="21"/>
          <w:szCs w:val="21"/>
        </w:rPr>
        <w:fldChar w:fldCharType="end"/>
      </w:r>
      <w:r>
        <w:rPr>
          <w:rFonts w:hint="eastAsia" w:ascii="Calibri" w:hAnsi="Calibri" w:cs="Times New Roman"/>
          <w:kern w:val="0"/>
          <w:sz w:val="21"/>
          <w:szCs w:val="21"/>
        </w:rPr>
        <w:t>出版，1996）。</w:t>
      </w:r>
    </w:p>
    <w:p w14:paraId="71BED645">
      <w:pPr>
        <w:pStyle w:val="3"/>
        <w:widowControl/>
        <w:ind w:firstLine="0" w:firstLineChars="0"/>
        <w:jc w:val="left"/>
        <w:rPr>
          <w:rFonts w:hint="eastAsia" w:ascii="黑体" w:hAnsi="宋体" w:eastAsia="黑体" w:cstheme="majorBidi"/>
          <w:kern w:val="0"/>
          <w:sz w:val="21"/>
          <w:szCs w:val="21"/>
          <w:lang w:val="en-US" w:eastAsia="zh-CN"/>
        </w:rPr>
      </w:pPr>
      <w:bookmarkStart w:id="97" w:name="_Toc23626"/>
      <w:bookmarkStart w:id="98" w:name="_Toc20013"/>
      <w:bookmarkStart w:id="99" w:name="_Toc28208"/>
      <w:bookmarkStart w:id="100" w:name="_Toc29019"/>
      <w:r>
        <w:rPr>
          <w:rFonts w:hint="eastAsia" w:ascii="黑体" w:hAnsi="宋体" w:eastAsia="黑体" w:cstheme="majorBidi"/>
          <w:kern w:val="0"/>
          <w:sz w:val="21"/>
          <w:szCs w:val="21"/>
          <w:lang w:val="en-US" w:eastAsia="zh-CN"/>
        </w:rPr>
        <w:t>8.2.2  危险化学品</w:t>
      </w:r>
      <w:bookmarkEnd w:id="97"/>
      <w:r>
        <w:rPr>
          <w:rFonts w:hint="eastAsia" w:ascii="黑体" w:hAnsi="宋体" w:eastAsia="黑体" w:cstheme="majorBidi"/>
          <w:kern w:val="0"/>
          <w:sz w:val="21"/>
          <w:szCs w:val="21"/>
          <w:lang w:val="en-US" w:eastAsia="zh-CN"/>
        </w:rPr>
        <w:t>辨识</w:t>
      </w:r>
      <w:bookmarkEnd w:id="98"/>
      <w:bookmarkEnd w:id="99"/>
      <w:bookmarkEnd w:id="100"/>
    </w:p>
    <w:p w14:paraId="1EC0C316">
      <w:pPr>
        <w:keepNext w:val="0"/>
        <w:keepLines w:val="0"/>
        <w:pageBreakBefore w:val="0"/>
        <w:widowControl/>
        <w:kinsoku/>
        <w:wordWrap/>
        <w:overflowPunct/>
        <w:topLinePunct w:val="0"/>
        <w:autoSpaceDE/>
        <w:autoSpaceDN/>
        <w:bidi w:val="0"/>
        <w:adjustRightInd/>
        <w:snapToGrid/>
        <w:spacing w:before="0" w:after="0" w:line="360" w:lineRule="exact"/>
        <w:ind w:left="0" w:firstLine="420" w:firstLineChars="200"/>
        <w:jc w:val="left"/>
        <w:textAlignment w:val="auto"/>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根据《危险化学品目录（2015版）》（国家安全生产监督管理局公告〔2015〕第5号）本项目涉及的危险化学品见表</w:t>
      </w:r>
      <w:r>
        <w:rPr>
          <w:rFonts w:hint="eastAsia" w:ascii="宋体" w:hAnsi="宋体" w:cs="Times New Roman"/>
          <w:spacing w:val="0"/>
          <w:kern w:val="0"/>
          <w:sz w:val="21"/>
          <w:szCs w:val="21"/>
          <w:lang w:val="en-US" w:eastAsia="zh-CN"/>
        </w:rPr>
        <w:t>8</w:t>
      </w:r>
      <w:r>
        <w:rPr>
          <w:rFonts w:hint="eastAsia" w:ascii="宋体" w:hAnsi="宋体" w:eastAsia="宋体" w:cs="Times New Roman"/>
          <w:spacing w:val="0"/>
          <w:kern w:val="0"/>
          <w:sz w:val="21"/>
          <w:szCs w:val="21"/>
        </w:rPr>
        <w:t>.</w:t>
      </w:r>
      <w:r>
        <w:rPr>
          <w:rFonts w:hint="eastAsia" w:ascii="宋体" w:hAnsi="宋体" w:cs="Times New Roman"/>
          <w:spacing w:val="0"/>
          <w:kern w:val="0"/>
          <w:sz w:val="21"/>
          <w:szCs w:val="21"/>
          <w:lang w:val="en-US" w:eastAsia="zh-CN"/>
        </w:rPr>
        <w:t>2</w:t>
      </w:r>
      <w:r>
        <w:rPr>
          <w:rFonts w:hint="eastAsia" w:ascii="宋体" w:hAnsi="宋体" w:eastAsia="宋体" w:cs="Times New Roman"/>
          <w:spacing w:val="0"/>
          <w:kern w:val="0"/>
          <w:sz w:val="21"/>
          <w:szCs w:val="21"/>
        </w:rPr>
        <w:t>-2，本项目危险化学品大部分属于易燃气体和低、中闪点易燃液体，具有较高的火灾爆炸危险性。</w:t>
      </w:r>
    </w:p>
    <w:p w14:paraId="17F7630C">
      <w:pPr>
        <w:widowControl/>
        <w:spacing w:before="100" w:after="100" w:line="360" w:lineRule="exact"/>
        <w:ind w:firstLine="0" w:firstLineChars="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表</w:t>
      </w:r>
      <w:r>
        <w:rPr>
          <w:rFonts w:hint="eastAsia" w:ascii="宋体" w:hAnsi="宋体" w:cs="宋体"/>
          <w:b/>
          <w:bCs/>
          <w:kern w:val="0"/>
          <w:sz w:val="24"/>
          <w:szCs w:val="24"/>
          <w:lang w:val="en-US" w:eastAsia="zh-CN"/>
        </w:rPr>
        <w:t>8</w:t>
      </w: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-2  危险化学品辨识结果</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751"/>
        <w:gridCol w:w="971"/>
        <w:gridCol w:w="1084"/>
        <w:gridCol w:w="1437"/>
        <w:gridCol w:w="3013"/>
        <w:gridCol w:w="600"/>
      </w:tblGrid>
      <w:tr w14:paraId="07AC4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22" w:type="pct"/>
            <w:vAlign w:val="center"/>
          </w:tcPr>
          <w:p w14:paraId="3F485A1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序号</w:t>
            </w:r>
          </w:p>
        </w:tc>
        <w:tc>
          <w:tcPr>
            <w:tcW w:w="390" w:type="pct"/>
            <w:vAlign w:val="center"/>
          </w:tcPr>
          <w:p w14:paraId="0881D1E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目录序号</w:t>
            </w:r>
          </w:p>
        </w:tc>
        <w:tc>
          <w:tcPr>
            <w:tcW w:w="609" w:type="pct"/>
            <w:vAlign w:val="center"/>
          </w:tcPr>
          <w:p w14:paraId="60D5B25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品名</w:t>
            </w:r>
          </w:p>
        </w:tc>
        <w:tc>
          <w:tcPr>
            <w:tcW w:w="681" w:type="pct"/>
            <w:vAlign w:val="center"/>
          </w:tcPr>
          <w:p w14:paraId="1398AC1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别名</w:t>
            </w:r>
          </w:p>
        </w:tc>
        <w:tc>
          <w:tcPr>
            <w:tcW w:w="691" w:type="pct"/>
            <w:vAlign w:val="center"/>
          </w:tcPr>
          <w:p w14:paraId="18D6E20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CAS号</w:t>
            </w:r>
          </w:p>
        </w:tc>
        <w:tc>
          <w:tcPr>
            <w:tcW w:w="1812" w:type="pct"/>
            <w:vAlign w:val="center"/>
          </w:tcPr>
          <w:p w14:paraId="6D2CC51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危险性类别</w:t>
            </w:r>
          </w:p>
        </w:tc>
        <w:tc>
          <w:tcPr>
            <w:tcW w:w="394" w:type="pct"/>
            <w:vAlign w:val="center"/>
          </w:tcPr>
          <w:p w14:paraId="6F22240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备注</w:t>
            </w:r>
          </w:p>
        </w:tc>
      </w:tr>
      <w:tr w14:paraId="4BC2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29DFDE27">
            <w:pPr>
              <w:pStyle w:val="28"/>
              <w:keepNext w:val="0"/>
              <w:keepLines w:val="0"/>
              <w:pageBreakBefore w:val="0"/>
              <w:widowControl/>
              <w:kinsoku/>
              <w:wordWrap/>
              <w:overflowPunct/>
              <w:topLinePunct w:val="0"/>
              <w:autoSpaceDE/>
              <w:autoSpaceDN/>
              <w:bidi w:val="0"/>
              <w:adjustRightInd/>
              <w:snapToGrid/>
              <w:spacing w:after="0" w:line="360" w:lineRule="exact"/>
              <w:rPr>
                <w:color w:val="000000" w:themeColor="text1"/>
                <w:sz w:val="21"/>
                <w:szCs w:val="21"/>
                <w14:textFill>
                  <w14:solidFill>
                    <w14:schemeClr w14:val="tx1"/>
                  </w14:solidFill>
                </w14:textFill>
              </w:rPr>
            </w:pPr>
          </w:p>
        </w:tc>
        <w:tc>
          <w:tcPr>
            <w:tcW w:w="390" w:type="pct"/>
            <w:vAlign w:val="center"/>
          </w:tcPr>
          <w:p w14:paraId="0E6850F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1967</w:t>
            </w:r>
          </w:p>
        </w:tc>
        <w:tc>
          <w:tcPr>
            <w:tcW w:w="609" w:type="pct"/>
            <w:vAlign w:val="center"/>
          </w:tcPr>
          <w:p w14:paraId="1564008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原油</w:t>
            </w:r>
          </w:p>
        </w:tc>
        <w:tc>
          <w:tcPr>
            <w:tcW w:w="681" w:type="pct"/>
            <w:vAlign w:val="center"/>
          </w:tcPr>
          <w:p w14:paraId="0282BD73">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石油</w:t>
            </w:r>
          </w:p>
        </w:tc>
        <w:tc>
          <w:tcPr>
            <w:tcW w:w="691" w:type="pct"/>
            <w:vAlign w:val="center"/>
          </w:tcPr>
          <w:p w14:paraId="4E608D82">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8002-05-9</w:t>
            </w:r>
          </w:p>
        </w:tc>
        <w:tc>
          <w:tcPr>
            <w:tcW w:w="1812" w:type="pct"/>
            <w:vAlign w:val="center"/>
          </w:tcPr>
          <w:p w14:paraId="73AA848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（1）闪点＜23℃和初沸点≤35℃：</w:t>
            </w:r>
          </w:p>
          <w:p w14:paraId="7B6E1CC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易燃液体，类别1</w:t>
            </w:r>
          </w:p>
          <w:p w14:paraId="1474F575">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（2）闪点＜23℃和初沸点＞35℃：</w:t>
            </w:r>
          </w:p>
          <w:p w14:paraId="1B1E681A">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易燃液体，类别2</w:t>
            </w:r>
          </w:p>
          <w:p w14:paraId="33FB21A8">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（3）23℃≤闪点≤60℃：</w:t>
            </w:r>
          </w:p>
          <w:p w14:paraId="15BE8118">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易燃液体，类别3</w:t>
            </w:r>
          </w:p>
        </w:tc>
        <w:tc>
          <w:tcPr>
            <w:tcW w:w="394" w:type="pct"/>
            <w:vAlign w:val="center"/>
          </w:tcPr>
          <w:p w14:paraId="08618D2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5150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0CEA9D0B">
            <w:pPr>
              <w:pStyle w:val="28"/>
              <w:keepNext w:val="0"/>
              <w:keepLines w:val="0"/>
              <w:pageBreakBefore w:val="0"/>
              <w:widowControl/>
              <w:kinsoku/>
              <w:wordWrap/>
              <w:overflowPunct/>
              <w:topLinePunct w:val="0"/>
              <w:autoSpaceDE/>
              <w:autoSpaceDN/>
              <w:bidi w:val="0"/>
              <w:adjustRightInd/>
              <w:snapToGrid/>
              <w:spacing w:after="0" w:line="360" w:lineRule="exact"/>
              <w:rPr>
                <w:color w:val="000000" w:themeColor="text1"/>
                <w:sz w:val="21"/>
                <w:szCs w:val="21"/>
                <w14:textFill>
                  <w14:solidFill>
                    <w14:schemeClr w14:val="tx1"/>
                  </w14:solidFill>
                </w14:textFill>
              </w:rPr>
            </w:pPr>
          </w:p>
        </w:tc>
        <w:tc>
          <w:tcPr>
            <w:tcW w:w="390" w:type="pct"/>
            <w:vAlign w:val="center"/>
          </w:tcPr>
          <w:p w14:paraId="3CF8FE9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1964</w:t>
            </w:r>
          </w:p>
        </w:tc>
        <w:tc>
          <w:tcPr>
            <w:tcW w:w="609" w:type="pct"/>
            <w:vAlign w:val="center"/>
          </w:tcPr>
          <w:p w14:paraId="17E1D3D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石脑油</w:t>
            </w:r>
          </w:p>
        </w:tc>
        <w:tc>
          <w:tcPr>
            <w:tcW w:w="681" w:type="pct"/>
            <w:vAlign w:val="center"/>
          </w:tcPr>
          <w:p w14:paraId="76FE633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4942A8D8">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8030-30-6</w:t>
            </w:r>
          </w:p>
        </w:tc>
        <w:tc>
          <w:tcPr>
            <w:tcW w:w="1812" w:type="pct"/>
            <w:vAlign w:val="center"/>
          </w:tcPr>
          <w:p w14:paraId="0EF9316E">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易燃液体，类别2*</w:t>
            </w:r>
          </w:p>
          <w:p w14:paraId="6A8B0381">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生殖细胞致突变性，类别1B</w:t>
            </w:r>
          </w:p>
          <w:p w14:paraId="733EFB0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吸入危害，类别1</w:t>
            </w:r>
          </w:p>
          <w:p w14:paraId="333DB529">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危害水生环境-急性危害，类别2</w:t>
            </w:r>
          </w:p>
          <w:p w14:paraId="4ED337F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危害水生环境-长期危害，类别2</w:t>
            </w:r>
          </w:p>
        </w:tc>
        <w:tc>
          <w:tcPr>
            <w:tcW w:w="394" w:type="pct"/>
            <w:vAlign w:val="center"/>
          </w:tcPr>
          <w:p w14:paraId="26BD00C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28C16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3EC58E38">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3887F4E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1022</w:t>
            </w:r>
          </w:p>
        </w:tc>
        <w:tc>
          <w:tcPr>
            <w:tcW w:w="609" w:type="pct"/>
            <w:vAlign w:val="center"/>
          </w:tcPr>
          <w:p w14:paraId="2C7579B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甲醇</w:t>
            </w:r>
          </w:p>
        </w:tc>
        <w:tc>
          <w:tcPr>
            <w:tcW w:w="681" w:type="pct"/>
            <w:vAlign w:val="center"/>
          </w:tcPr>
          <w:p w14:paraId="48A0768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木醇；木精</w:t>
            </w:r>
          </w:p>
        </w:tc>
        <w:tc>
          <w:tcPr>
            <w:tcW w:w="691" w:type="pct"/>
            <w:vAlign w:val="center"/>
          </w:tcPr>
          <w:p w14:paraId="69C6AD65">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67-56-1</w:t>
            </w:r>
          </w:p>
        </w:tc>
        <w:tc>
          <w:tcPr>
            <w:tcW w:w="1812" w:type="pct"/>
            <w:vAlign w:val="center"/>
          </w:tcPr>
          <w:p w14:paraId="48C304B6">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易燃液体，类别2</w:t>
            </w:r>
          </w:p>
          <w:p w14:paraId="01129407">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急性毒性-经口，类别3*</w:t>
            </w:r>
          </w:p>
          <w:p w14:paraId="2A769898">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急性毒性-经皮，类别3*</w:t>
            </w:r>
          </w:p>
          <w:p w14:paraId="414815E3">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急性毒性-吸入，类别3*</w:t>
            </w:r>
          </w:p>
          <w:p w14:paraId="609FBC9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特异性靶器官毒性-一次接触，类别1</w:t>
            </w:r>
          </w:p>
        </w:tc>
        <w:tc>
          <w:tcPr>
            <w:tcW w:w="394" w:type="pct"/>
            <w:vAlign w:val="center"/>
          </w:tcPr>
          <w:p w14:paraId="330E3C5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4486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3B24EF88">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24070E1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2548</w:t>
            </w:r>
          </w:p>
        </w:tc>
        <w:tc>
          <w:tcPr>
            <w:tcW w:w="609" w:type="pct"/>
            <w:vAlign w:val="center"/>
          </w:tcPr>
          <w:p w14:paraId="7CD5315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液化石油气</w:t>
            </w:r>
          </w:p>
        </w:tc>
        <w:tc>
          <w:tcPr>
            <w:tcW w:w="681" w:type="pct"/>
            <w:vAlign w:val="center"/>
          </w:tcPr>
          <w:p w14:paraId="74095D0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石油气</w:t>
            </w:r>
          </w:p>
        </w:tc>
        <w:tc>
          <w:tcPr>
            <w:tcW w:w="691" w:type="pct"/>
            <w:vAlign w:val="center"/>
          </w:tcPr>
          <w:p w14:paraId="1459FBF7">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68476-85-7</w:t>
            </w:r>
          </w:p>
        </w:tc>
        <w:tc>
          <w:tcPr>
            <w:tcW w:w="1812" w:type="pct"/>
            <w:vAlign w:val="center"/>
          </w:tcPr>
          <w:p w14:paraId="1458307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466B8B35">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p w14:paraId="3DC7D357">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生殖细胞致突变性，类别1B</w:t>
            </w:r>
          </w:p>
        </w:tc>
        <w:tc>
          <w:tcPr>
            <w:tcW w:w="394" w:type="pct"/>
            <w:vAlign w:val="center"/>
          </w:tcPr>
          <w:p w14:paraId="4C45173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4D4C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0666A52B">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6FA4F36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1630</w:t>
            </w:r>
          </w:p>
        </w:tc>
        <w:tc>
          <w:tcPr>
            <w:tcW w:w="609" w:type="pct"/>
            <w:vAlign w:val="center"/>
          </w:tcPr>
          <w:p w14:paraId="326AA69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汽油</w:t>
            </w:r>
          </w:p>
        </w:tc>
        <w:tc>
          <w:tcPr>
            <w:tcW w:w="681" w:type="pct"/>
            <w:vAlign w:val="center"/>
          </w:tcPr>
          <w:p w14:paraId="465E737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4AF5473E">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86290-81-5</w:t>
            </w:r>
          </w:p>
        </w:tc>
        <w:tc>
          <w:tcPr>
            <w:tcW w:w="1812" w:type="pct"/>
            <w:vAlign w:val="center"/>
          </w:tcPr>
          <w:p w14:paraId="00BDC626">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易燃液体，类别2*</w:t>
            </w:r>
          </w:p>
          <w:p w14:paraId="4D520B2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生殖细胞致突变性，类别1B</w:t>
            </w:r>
          </w:p>
          <w:p w14:paraId="6CD1C56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致癌性，类别2</w:t>
            </w:r>
          </w:p>
          <w:p w14:paraId="6FF8DEC5">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吸入危害，类别1</w:t>
            </w:r>
          </w:p>
          <w:p w14:paraId="634AA617">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危害水生环境-急性危害，类别2</w:t>
            </w:r>
          </w:p>
          <w:p w14:paraId="19EBB691">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危害水生环境-长期危害，类别2</w:t>
            </w:r>
          </w:p>
        </w:tc>
        <w:tc>
          <w:tcPr>
            <w:tcW w:w="394" w:type="pct"/>
            <w:vAlign w:val="center"/>
          </w:tcPr>
          <w:p w14:paraId="62FCEDA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73FD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64374D5F">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57E9B4D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1674</w:t>
            </w:r>
          </w:p>
        </w:tc>
        <w:tc>
          <w:tcPr>
            <w:tcW w:w="609" w:type="pct"/>
            <w:vAlign w:val="center"/>
          </w:tcPr>
          <w:p w14:paraId="21B1CE4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柴油</w:t>
            </w:r>
          </w:p>
        </w:tc>
        <w:tc>
          <w:tcPr>
            <w:tcW w:w="681" w:type="pct"/>
            <w:vAlign w:val="center"/>
          </w:tcPr>
          <w:p w14:paraId="5D493C5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4D5E61A3">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p>
        </w:tc>
        <w:tc>
          <w:tcPr>
            <w:tcW w:w="1812" w:type="pct"/>
            <w:vAlign w:val="center"/>
          </w:tcPr>
          <w:p w14:paraId="23918329">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易燃液体，类别3</w:t>
            </w:r>
          </w:p>
        </w:tc>
        <w:tc>
          <w:tcPr>
            <w:tcW w:w="394" w:type="pct"/>
            <w:vAlign w:val="center"/>
          </w:tcPr>
          <w:p w14:paraId="2040F43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0DEF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0AA9E473">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176DF03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1648</w:t>
            </w:r>
          </w:p>
        </w:tc>
        <w:tc>
          <w:tcPr>
            <w:tcW w:w="609" w:type="pct"/>
            <w:vAlign w:val="center"/>
          </w:tcPr>
          <w:p w14:paraId="4209138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氢气</w:t>
            </w:r>
          </w:p>
        </w:tc>
        <w:tc>
          <w:tcPr>
            <w:tcW w:w="681" w:type="pct"/>
            <w:vAlign w:val="center"/>
          </w:tcPr>
          <w:p w14:paraId="7CAE0AC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1A57653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1333-74-0</w:t>
            </w:r>
          </w:p>
        </w:tc>
        <w:tc>
          <w:tcPr>
            <w:tcW w:w="1812" w:type="pct"/>
            <w:vAlign w:val="center"/>
          </w:tcPr>
          <w:p w14:paraId="23BC1102">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63E6DF31">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tc>
        <w:tc>
          <w:tcPr>
            <w:tcW w:w="394" w:type="pct"/>
            <w:vAlign w:val="center"/>
          </w:tcPr>
          <w:p w14:paraId="45AFD7C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11C4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0CE76BE0">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11427E8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1289</w:t>
            </w:r>
          </w:p>
        </w:tc>
        <w:tc>
          <w:tcPr>
            <w:tcW w:w="609" w:type="pct"/>
            <w:vAlign w:val="center"/>
          </w:tcPr>
          <w:p w14:paraId="4A5DC81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硫化氢</w:t>
            </w:r>
          </w:p>
        </w:tc>
        <w:tc>
          <w:tcPr>
            <w:tcW w:w="681" w:type="pct"/>
            <w:vAlign w:val="center"/>
          </w:tcPr>
          <w:p w14:paraId="1D13D4D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7B0E857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7783-06-4</w:t>
            </w:r>
          </w:p>
        </w:tc>
        <w:tc>
          <w:tcPr>
            <w:tcW w:w="1812" w:type="pct"/>
            <w:vAlign w:val="center"/>
          </w:tcPr>
          <w:p w14:paraId="1495D19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6F281B8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p w14:paraId="3E398132">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急性毒性-吸入，类别2*</w:t>
            </w:r>
          </w:p>
          <w:p w14:paraId="7E842A49">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危害水生环境-急性危害，类别1</w:t>
            </w:r>
          </w:p>
        </w:tc>
        <w:tc>
          <w:tcPr>
            <w:tcW w:w="394" w:type="pct"/>
            <w:vAlign w:val="center"/>
          </w:tcPr>
          <w:p w14:paraId="1A3FFDC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393A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35B01DF3">
            <w:pPr>
              <w:pStyle w:val="28"/>
              <w:keepNext w:val="0"/>
              <w:keepLines w:val="0"/>
              <w:pageBreakBefore w:val="0"/>
              <w:widowControl/>
              <w:kinsoku/>
              <w:wordWrap/>
              <w:overflowPunct/>
              <w:topLinePunct w:val="0"/>
              <w:autoSpaceDE/>
              <w:autoSpaceDN/>
              <w:bidi w:val="0"/>
              <w:adjustRightInd/>
              <w:snapToGrid/>
              <w:spacing w:after="0" w:line="360" w:lineRule="exact"/>
              <w:rPr>
                <w:color w:val="000000" w:themeColor="text1"/>
                <w:sz w:val="21"/>
                <w:szCs w:val="21"/>
                <w14:textFill>
                  <w14:solidFill>
                    <w14:schemeClr w14:val="tx1"/>
                  </w14:solidFill>
                </w14:textFill>
              </w:rPr>
            </w:pPr>
          </w:p>
        </w:tc>
        <w:tc>
          <w:tcPr>
            <w:tcW w:w="390" w:type="pct"/>
            <w:vAlign w:val="center"/>
          </w:tcPr>
          <w:p w14:paraId="25F4A86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1188</w:t>
            </w:r>
          </w:p>
        </w:tc>
        <w:tc>
          <w:tcPr>
            <w:tcW w:w="609" w:type="pct"/>
            <w:vAlign w:val="center"/>
          </w:tcPr>
          <w:p w14:paraId="2B8B3C4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甲烷</w:t>
            </w:r>
          </w:p>
        </w:tc>
        <w:tc>
          <w:tcPr>
            <w:tcW w:w="681" w:type="pct"/>
            <w:vAlign w:val="center"/>
          </w:tcPr>
          <w:p w14:paraId="4BC1D83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042A3F1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74-82-8</w:t>
            </w:r>
          </w:p>
        </w:tc>
        <w:tc>
          <w:tcPr>
            <w:tcW w:w="1812" w:type="pct"/>
            <w:vAlign w:val="center"/>
          </w:tcPr>
          <w:p w14:paraId="2AE0D179">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128420B2">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tc>
        <w:tc>
          <w:tcPr>
            <w:tcW w:w="394" w:type="pct"/>
            <w:vAlign w:val="center"/>
          </w:tcPr>
          <w:p w14:paraId="4A8EAEB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2546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67D64F99">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7E17814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139</w:t>
            </w:r>
          </w:p>
        </w:tc>
        <w:tc>
          <w:tcPr>
            <w:tcW w:w="609" w:type="pct"/>
            <w:vAlign w:val="center"/>
          </w:tcPr>
          <w:p w14:paraId="6FCFEDB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丙烷</w:t>
            </w:r>
          </w:p>
        </w:tc>
        <w:tc>
          <w:tcPr>
            <w:tcW w:w="681" w:type="pct"/>
            <w:vAlign w:val="center"/>
          </w:tcPr>
          <w:p w14:paraId="0800989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4D1D86F9">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74-98-6</w:t>
            </w:r>
          </w:p>
        </w:tc>
        <w:tc>
          <w:tcPr>
            <w:tcW w:w="1812" w:type="pct"/>
            <w:vAlign w:val="center"/>
          </w:tcPr>
          <w:p w14:paraId="179501C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66BAE0A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tc>
        <w:tc>
          <w:tcPr>
            <w:tcW w:w="394" w:type="pct"/>
            <w:vAlign w:val="center"/>
          </w:tcPr>
          <w:p w14:paraId="1C2DE55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6512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2" w:type="pct"/>
            <w:vAlign w:val="center"/>
          </w:tcPr>
          <w:p w14:paraId="2E8FC176">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4A7942C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140</w:t>
            </w:r>
          </w:p>
        </w:tc>
        <w:tc>
          <w:tcPr>
            <w:tcW w:w="609" w:type="pct"/>
            <w:vAlign w:val="center"/>
          </w:tcPr>
          <w:p w14:paraId="3AA1DB6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丙烯</w:t>
            </w:r>
          </w:p>
        </w:tc>
        <w:tc>
          <w:tcPr>
            <w:tcW w:w="681" w:type="pct"/>
            <w:vAlign w:val="center"/>
          </w:tcPr>
          <w:p w14:paraId="3236C94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66600BC4">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115-07-1</w:t>
            </w:r>
          </w:p>
        </w:tc>
        <w:tc>
          <w:tcPr>
            <w:tcW w:w="1812" w:type="pct"/>
            <w:vAlign w:val="center"/>
          </w:tcPr>
          <w:p w14:paraId="45DB466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3F080646">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tc>
        <w:tc>
          <w:tcPr>
            <w:tcW w:w="394" w:type="pct"/>
            <w:vAlign w:val="center"/>
          </w:tcPr>
          <w:p w14:paraId="5842ACE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5A9F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3CC29859">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42BE772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2661</w:t>
            </w:r>
          </w:p>
        </w:tc>
        <w:tc>
          <w:tcPr>
            <w:tcW w:w="609" w:type="pct"/>
            <w:vAlign w:val="center"/>
          </w:tcPr>
          <w:p w14:paraId="7DA8D30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乙烷</w:t>
            </w:r>
          </w:p>
        </w:tc>
        <w:tc>
          <w:tcPr>
            <w:tcW w:w="681" w:type="pct"/>
            <w:vAlign w:val="center"/>
          </w:tcPr>
          <w:p w14:paraId="38A79C9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78642213">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sz w:val="21"/>
                <w:szCs w:val="21"/>
                <w14:textFill>
                  <w14:solidFill>
                    <w14:schemeClr w14:val="tx1"/>
                  </w14:solidFill>
                </w14:textFill>
              </w:rPr>
              <w:t>74-84-0</w:t>
            </w:r>
          </w:p>
        </w:tc>
        <w:tc>
          <w:tcPr>
            <w:tcW w:w="1812" w:type="pct"/>
            <w:vAlign w:val="center"/>
          </w:tcPr>
          <w:p w14:paraId="7033C012">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易燃气体,类别1</w:t>
            </w:r>
          </w:p>
          <w:p w14:paraId="4CE51479">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sz w:val="21"/>
                <w:szCs w:val="21"/>
                <w14:textFill>
                  <w14:solidFill>
                    <w14:schemeClr w14:val="tx1"/>
                  </w14:solidFill>
                </w14:textFill>
              </w:rPr>
              <w:t>加压气体</w:t>
            </w:r>
          </w:p>
        </w:tc>
        <w:tc>
          <w:tcPr>
            <w:tcW w:w="394" w:type="pct"/>
            <w:vAlign w:val="center"/>
          </w:tcPr>
          <w:p w14:paraId="6BE0699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333B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4847DFF3">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5F592E7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49</w:t>
            </w:r>
          </w:p>
        </w:tc>
        <w:tc>
          <w:tcPr>
            <w:tcW w:w="609" w:type="pct"/>
            <w:vAlign w:val="center"/>
          </w:tcPr>
          <w:p w14:paraId="4CBB5BA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苯</w:t>
            </w:r>
          </w:p>
        </w:tc>
        <w:tc>
          <w:tcPr>
            <w:tcW w:w="681" w:type="pct"/>
            <w:vAlign w:val="center"/>
          </w:tcPr>
          <w:p w14:paraId="2E5ED6F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纯苯</w:t>
            </w:r>
          </w:p>
        </w:tc>
        <w:tc>
          <w:tcPr>
            <w:tcW w:w="691" w:type="pct"/>
            <w:vAlign w:val="center"/>
          </w:tcPr>
          <w:p w14:paraId="684311E7">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71-43-2</w:t>
            </w:r>
          </w:p>
        </w:tc>
        <w:tc>
          <w:tcPr>
            <w:tcW w:w="1812" w:type="pct"/>
            <w:vAlign w:val="center"/>
          </w:tcPr>
          <w:p w14:paraId="0C317305">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易燃液体，类别2</w:t>
            </w:r>
          </w:p>
          <w:p w14:paraId="38408C6A">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皮肤腐蚀/刺激，类别2</w:t>
            </w:r>
          </w:p>
          <w:p w14:paraId="4C41BAD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严重眼损伤/眼刺激，类别2</w:t>
            </w:r>
          </w:p>
          <w:p w14:paraId="5D8F381B">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生殖细胞致突变性，类别1B</w:t>
            </w:r>
          </w:p>
          <w:p w14:paraId="5F9FEB3E">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致癌性，类别1A</w:t>
            </w:r>
          </w:p>
          <w:p w14:paraId="4779AE77">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特异性靶器官毒性-反复接触，类别1</w:t>
            </w:r>
          </w:p>
          <w:p w14:paraId="0807C82E">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吸入危害，类别1</w:t>
            </w:r>
          </w:p>
          <w:p w14:paraId="74FB411E">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危害水生环境-急性危害，类别2</w:t>
            </w:r>
          </w:p>
          <w:p w14:paraId="53D0549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危害水生环境-长期危害，类别3</w:t>
            </w:r>
          </w:p>
        </w:tc>
        <w:tc>
          <w:tcPr>
            <w:tcW w:w="394" w:type="pct"/>
            <w:vAlign w:val="center"/>
          </w:tcPr>
          <w:p w14:paraId="4B0A2CB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012F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5475BEE2">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16F3568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1014</w:t>
            </w:r>
          </w:p>
        </w:tc>
        <w:tc>
          <w:tcPr>
            <w:tcW w:w="609" w:type="pct"/>
            <w:vAlign w:val="center"/>
          </w:tcPr>
          <w:p w14:paraId="719D927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甲苯</w:t>
            </w:r>
          </w:p>
        </w:tc>
        <w:tc>
          <w:tcPr>
            <w:tcW w:w="681" w:type="pct"/>
            <w:vAlign w:val="center"/>
          </w:tcPr>
          <w:p w14:paraId="0393886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甲基苯；苯基甲烷</w:t>
            </w:r>
          </w:p>
        </w:tc>
        <w:tc>
          <w:tcPr>
            <w:tcW w:w="691" w:type="pct"/>
            <w:vAlign w:val="center"/>
          </w:tcPr>
          <w:p w14:paraId="0CADABBF">
            <w:pPr>
              <w:keepNext w:val="0"/>
              <w:keepLines w:val="0"/>
              <w:pageBreakBefore w:val="0"/>
              <w:widowControl/>
              <w:tabs>
                <w:tab w:val="left" w:pos="1786"/>
              </w:tabs>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spacing w:val="-10"/>
                <w:kern w:val="0"/>
                <w:sz w:val="21"/>
                <w:szCs w:val="21"/>
                <w14:textFill>
                  <w14:solidFill>
                    <w14:schemeClr w14:val="tx1"/>
                  </w14:solidFill>
                </w14:textFill>
              </w:rPr>
              <w:t>108-88-3</w:t>
            </w:r>
          </w:p>
        </w:tc>
        <w:tc>
          <w:tcPr>
            <w:tcW w:w="1812" w:type="pct"/>
            <w:vAlign w:val="center"/>
          </w:tcPr>
          <w:p w14:paraId="769A25C7">
            <w:pPr>
              <w:pStyle w:val="29"/>
              <w:keepNext w:val="0"/>
              <w:keepLines w:val="0"/>
              <w:pageBreakBefore w:val="0"/>
              <w:widowControl/>
              <w:kinsoku/>
              <w:wordWrap/>
              <w:overflowPunct/>
              <w:topLinePunct w:val="0"/>
              <w:autoSpaceDE/>
              <w:autoSpaceDN/>
              <w:bidi w:val="0"/>
              <w:adjustRightInd/>
              <w:snapToGrid/>
              <w:spacing w:after="0" w:line="360" w:lineRule="exact"/>
              <w:jc w:val="both"/>
              <w:rPr>
                <w:rFonts w:cs="Times New Roman"/>
                <w:color w:val="000000" w:themeColor="text1"/>
                <w:kern w:val="0"/>
                <w:sz w:val="21"/>
                <w:szCs w:val="21"/>
                <w14:textFill>
                  <w14:solidFill>
                    <w14:schemeClr w14:val="tx1"/>
                  </w14:solidFill>
                </w14:textFill>
              </w:rPr>
            </w:pPr>
            <w:r>
              <w:rPr>
                <w:rFonts w:cs="Times New Roman"/>
                <w:color w:val="000000" w:themeColor="text1"/>
                <w:kern w:val="0"/>
                <w:sz w:val="21"/>
                <w:szCs w:val="21"/>
                <w14:textFill>
                  <w14:solidFill>
                    <w14:schemeClr w14:val="tx1"/>
                  </w14:solidFill>
                </w14:textFill>
              </w:rPr>
              <w:t>易燃液体,类别2</w:t>
            </w:r>
          </w:p>
          <w:p w14:paraId="03141DB3">
            <w:pPr>
              <w:pStyle w:val="29"/>
              <w:keepNext w:val="0"/>
              <w:keepLines w:val="0"/>
              <w:pageBreakBefore w:val="0"/>
              <w:widowControl/>
              <w:kinsoku/>
              <w:wordWrap/>
              <w:overflowPunct/>
              <w:topLinePunct w:val="0"/>
              <w:autoSpaceDE/>
              <w:autoSpaceDN/>
              <w:bidi w:val="0"/>
              <w:adjustRightInd/>
              <w:snapToGrid/>
              <w:spacing w:after="0" w:line="360" w:lineRule="exact"/>
              <w:jc w:val="both"/>
              <w:rPr>
                <w:rFonts w:cs="Times New Roman"/>
                <w:color w:val="000000" w:themeColor="text1"/>
                <w:kern w:val="0"/>
                <w:sz w:val="21"/>
                <w:szCs w:val="21"/>
                <w14:textFill>
                  <w14:solidFill>
                    <w14:schemeClr w14:val="tx1"/>
                  </w14:solidFill>
                </w14:textFill>
              </w:rPr>
            </w:pPr>
            <w:r>
              <w:rPr>
                <w:rFonts w:cs="Times New Roman"/>
                <w:color w:val="000000" w:themeColor="text1"/>
                <w:kern w:val="0"/>
                <w:sz w:val="21"/>
                <w:szCs w:val="21"/>
                <w14:textFill>
                  <w14:solidFill>
                    <w14:schemeClr w14:val="tx1"/>
                  </w14:solidFill>
                </w14:textFill>
              </w:rPr>
              <w:t>皮肤腐蚀/刺激,类别2</w:t>
            </w:r>
          </w:p>
          <w:p w14:paraId="0FEAB557">
            <w:pPr>
              <w:pStyle w:val="29"/>
              <w:keepNext w:val="0"/>
              <w:keepLines w:val="0"/>
              <w:pageBreakBefore w:val="0"/>
              <w:widowControl/>
              <w:kinsoku/>
              <w:wordWrap/>
              <w:overflowPunct/>
              <w:topLinePunct w:val="0"/>
              <w:autoSpaceDE/>
              <w:autoSpaceDN/>
              <w:bidi w:val="0"/>
              <w:adjustRightInd/>
              <w:snapToGrid/>
              <w:spacing w:after="0" w:line="360" w:lineRule="exact"/>
              <w:jc w:val="both"/>
              <w:rPr>
                <w:rFonts w:cs="Times New Roman"/>
                <w:color w:val="000000" w:themeColor="text1"/>
                <w:kern w:val="0"/>
                <w:sz w:val="21"/>
                <w:szCs w:val="21"/>
                <w14:textFill>
                  <w14:solidFill>
                    <w14:schemeClr w14:val="tx1"/>
                  </w14:solidFill>
                </w14:textFill>
              </w:rPr>
            </w:pPr>
            <w:r>
              <w:rPr>
                <w:rFonts w:cs="Times New Roman"/>
                <w:color w:val="000000" w:themeColor="text1"/>
                <w:kern w:val="0"/>
                <w:sz w:val="21"/>
                <w:szCs w:val="21"/>
                <w14:textFill>
                  <w14:solidFill>
                    <w14:schemeClr w14:val="tx1"/>
                  </w14:solidFill>
                </w14:textFill>
              </w:rPr>
              <w:t>生殖毒性,类别2</w:t>
            </w:r>
          </w:p>
          <w:p w14:paraId="65B83D5A">
            <w:pPr>
              <w:pStyle w:val="29"/>
              <w:keepNext w:val="0"/>
              <w:keepLines w:val="0"/>
              <w:pageBreakBefore w:val="0"/>
              <w:widowControl/>
              <w:kinsoku/>
              <w:wordWrap/>
              <w:overflowPunct/>
              <w:topLinePunct w:val="0"/>
              <w:autoSpaceDE/>
              <w:autoSpaceDN/>
              <w:bidi w:val="0"/>
              <w:adjustRightInd/>
              <w:snapToGrid/>
              <w:spacing w:after="0" w:line="360" w:lineRule="exact"/>
              <w:jc w:val="both"/>
              <w:rPr>
                <w:rFonts w:cs="Times New Roman"/>
                <w:color w:val="000000" w:themeColor="text1"/>
                <w:kern w:val="0"/>
                <w:sz w:val="21"/>
                <w:szCs w:val="21"/>
                <w14:textFill>
                  <w14:solidFill>
                    <w14:schemeClr w14:val="tx1"/>
                  </w14:solidFill>
                </w14:textFill>
              </w:rPr>
            </w:pPr>
            <w:r>
              <w:rPr>
                <w:rFonts w:cs="Times New Roman"/>
                <w:color w:val="000000" w:themeColor="text1"/>
                <w:kern w:val="0"/>
                <w:sz w:val="21"/>
                <w:szCs w:val="21"/>
                <w14:textFill>
                  <w14:solidFill>
                    <w14:schemeClr w14:val="tx1"/>
                  </w14:solidFill>
                </w14:textFill>
              </w:rPr>
              <w:t>特异性靶器官毒性-一次接触,类别3（麻醉效应）</w:t>
            </w:r>
          </w:p>
          <w:p w14:paraId="098EEDEB">
            <w:pPr>
              <w:pStyle w:val="29"/>
              <w:keepNext w:val="0"/>
              <w:keepLines w:val="0"/>
              <w:pageBreakBefore w:val="0"/>
              <w:widowControl/>
              <w:kinsoku/>
              <w:wordWrap/>
              <w:overflowPunct/>
              <w:topLinePunct w:val="0"/>
              <w:autoSpaceDE/>
              <w:autoSpaceDN/>
              <w:bidi w:val="0"/>
              <w:adjustRightInd/>
              <w:snapToGrid/>
              <w:spacing w:after="0" w:line="360" w:lineRule="exact"/>
              <w:jc w:val="both"/>
              <w:rPr>
                <w:rFonts w:cs="Times New Roman"/>
                <w:color w:val="000000" w:themeColor="text1"/>
                <w:kern w:val="0"/>
                <w:sz w:val="21"/>
                <w:szCs w:val="21"/>
                <w14:textFill>
                  <w14:solidFill>
                    <w14:schemeClr w14:val="tx1"/>
                  </w14:solidFill>
                </w14:textFill>
              </w:rPr>
            </w:pPr>
            <w:r>
              <w:rPr>
                <w:rFonts w:cs="Times New Roman"/>
                <w:color w:val="000000" w:themeColor="text1"/>
                <w:kern w:val="0"/>
                <w:sz w:val="21"/>
                <w:szCs w:val="21"/>
                <w14:textFill>
                  <w14:solidFill>
                    <w14:schemeClr w14:val="tx1"/>
                  </w14:solidFill>
                </w14:textFill>
              </w:rPr>
              <w:t>特异性靶器官毒性-反复接触,类别2*</w:t>
            </w:r>
          </w:p>
          <w:p w14:paraId="15E5DA72">
            <w:pPr>
              <w:pStyle w:val="29"/>
              <w:keepNext w:val="0"/>
              <w:keepLines w:val="0"/>
              <w:pageBreakBefore w:val="0"/>
              <w:widowControl/>
              <w:kinsoku/>
              <w:wordWrap/>
              <w:overflowPunct/>
              <w:topLinePunct w:val="0"/>
              <w:autoSpaceDE/>
              <w:autoSpaceDN/>
              <w:bidi w:val="0"/>
              <w:adjustRightInd/>
              <w:snapToGrid/>
              <w:spacing w:after="0" w:line="360" w:lineRule="exact"/>
              <w:jc w:val="both"/>
              <w:rPr>
                <w:rFonts w:cs="Times New Roman"/>
                <w:color w:val="000000" w:themeColor="text1"/>
                <w:kern w:val="0"/>
                <w:sz w:val="21"/>
                <w:szCs w:val="21"/>
                <w14:textFill>
                  <w14:solidFill>
                    <w14:schemeClr w14:val="tx1"/>
                  </w14:solidFill>
                </w14:textFill>
              </w:rPr>
            </w:pPr>
            <w:r>
              <w:rPr>
                <w:rFonts w:cs="Times New Roman"/>
                <w:color w:val="000000" w:themeColor="text1"/>
                <w:kern w:val="0"/>
                <w:sz w:val="21"/>
                <w:szCs w:val="21"/>
                <w14:textFill>
                  <w14:solidFill>
                    <w14:schemeClr w14:val="tx1"/>
                  </w14:solidFill>
                </w14:textFill>
              </w:rPr>
              <w:t>吸入危害,类别1</w:t>
            </w:r>
          </w:p>
          <w:p w14:paraId="10475419">
            <w:pPr>
              <w:pStyle w:val="29"/>
              <w:keepNext w:val="0"/>
              <w:keepLines w:val="0"/>
              <w:pageBreakBefore w:val="0"/>
              <w:widowControl/>
              <w:kinsoku/>
              <w:wordWrap/>
              <w:overflowPunct/>
              <w:topLinePunct w:val="0"/>
              <w:autoSpaceDE/>
              <w:autoSpaceDN/>
              <w:bidi w:val="0"/>
              <w:adjustRightInd/>
              <w:snapToGrid/>
              <w:spacing w:after="0" w:line="360" w:lineRule="exact"/>
              <w:jc w:val="both"/>
              <w:rPr>
                <w:rFonts w:cs="Times New Roman"/>
                <w:color w:val="000000" w:themeColor="text1"/>
                <w:kern w:val="0"/>
                <w:sz w:val="21"/>
                <w:szCs w:val="21"/>
                <w14:textFill>
                  <w14:solidFill>
                    <w14:schemeClr w14:val="tx1"/>
                  </w14:solidFill>
                </w14:textFill>
              </w:rPr>
            </w:pPr>
            <w:r>
              <w:rPr>
                <w:rFonts w:cs="Times New Roman"/>
                <w:color w:val="000000" w:themeColor="text1"/>
                <w:kern w:val="0"/>
                <w:sz w:val="21"/>
                <w:szCs w:val="21"/>
                <w14:textFill>
                  <w14:solidFill>
                    <w14:schemeClr w14:val="tx1"/>
                  </w14:solidFill>
                </w14:textFill>
              </w:rPr>
              <w:t>危害水生环境-急性危害,类别2</w:t>
            </w:r>
          </w:p>
          <w:p w14:paraId="79E7D8B6">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危害水生环境-长期危害,类别3</w:t>
            </w:r>
          </w:p>
        </w:tc>
        <w:tc>
          <w:tcPr>
            <w:tcW w:w="394" w:type="pct"/>
            <w:vAlign w:val="center"/>
          </w:tcPr>
          <w:p w14:paraId="66282E0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3734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7BA256E5">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6E2639C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p>
        </w:tc>
        <w:tc>
          <w:tcPr>
            <w:tcW w:w="609" w:type="pct"/>
            <w:vAlign w:val="center"/>
          </w:tcPr>
          <w:p w14:paraId="0F5A036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氨</w:t>
            </w:r>
          </w:p>
        </w:tc>
        <w:tc>
          <w:tcPr>
            <w:tcW w:w="681" w:type="pct"/>
            <w:vAlign w:val="center"/>
          </w:tcPr>
          <w:p w14:paraId="713A954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液氨；氨气</w:t>
            </w:r>
          </w:p>
        </w:tc>
        <w:tc>
          <w:tcPr>
            <w:tcW w:w="691" w:type="pct"/>
            <w:vAlign w:val="center"/>
          </w:tcPr>
          <w:p w14:paraId="1C757FE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7664-41-7</w:t>
            </w:r>
          </w:p>
        </w:tc>
        <w:tc>
          <w:tcPr>
            <w:tcW w:w="1812" w:type="pct"/>
            <w:vAlign w:val="center"/>
          </w:tcPr>
          <w:p w14:paraId="0C3217AA">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易燃气体，类别2</w:t>
            </w:r>
          </w:p>
          <w:p w14:paraId="008C4836">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p w14:paraId="46F87BF7">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急性毒性-吸入，类别3*</w:t>
            </w:r>
          </w:p>
          <w:p w14:paraId="6E280EE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皮肤腐蚀/刺激，类别1B</w:t>
            </w:r>
          </w:p>
          <w:p w14:paraId="27E63F06">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严重眼损伤/眼刺激，类别1</w:t>
            </w:r>
          </w:p>
          <w:p w14:paraId="43F1EC6B">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危害水生环境-急性危害，类别1</w:t>
            </w:r>
          </w:p>
        </w:tc>
        <w:tc>
          <w:tcPr>
            <w:tcW w:w="394" w:type="pct"/>
            <w:vAlign w:val="center"/>
          </w:tcPr>
          <w:p w14:paraId="47BC901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0B896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58D74242">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4204D24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639</w:t>
            </w:r>
          </w:p>
        </w:tc>
        <w:tc>
          <w:tcPr>
            <w:tcW w:w="609" w:type="pct"/>
            <w:vAlign w:val="center"/>
          </w:tcPr>
          <w:p w14:paraId="3F664E0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二氧化硫</w:t>
            </w:r>
          </w:p>
        </w:tc>
        <w:tc>
          <w:tcPr>
            <w:tcW w:w="681" w:type="pct"/>
            <w:vAlign w:val="center"/>
          </w:tcPr>
          <w:p w14:paraId="25395EB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亚硫酸酐</w:t>
            </w:r>
          </w:p>
        </w:tc>
        <w:tc>
          <w:tcPr>
            <w:tcW w:w="691" w:type="pct"/>
            <w:vAlign w:val="center"/>
          </w:tcPr>
          <w:p w14:paraId="0D19ECA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7446-09-5</w:t>
            </w:r>
          </w:p>
        </w:tc>
        <w:tc>
          <w:tcPr>
            <w:tcW w:w="1812" w:type="pct"/>
            <w:vAlign w:val="center"/>
          </w:tcPr>
          <w:p w14:paraId="06F57FB6">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p w14:paraId="5B79FADD">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急性毒性-吸入，类别3</w:t>
            </w:r>
          </w:p>
          <w:p w14:paraId="14A20BB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皮肤腐蚀/刺激，类别1B</w:t>
            </w:r>
          </w:p>
          <w:p w14:paraId="212AEE9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严重眼损伤/眼刺激，类别1</w:t>
            </w:r>
          </w:p>
        </w:tc>
        <w:tc>
          <w:tcPr>
            <w:tcW w:w="394" w:type="pct"/>
            <w:vAlign w:val="center"/>
          </w:tcPr>
          <w:p w14:paraId="0A5FD03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7735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012143C3">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597CB16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1290</w:t>
            </w:r>
          </w:p>
        </w:tc>
        <w:tc>
          <w:tcPr>
            <w:tcW w:w="609" w:type="pct"/>
            <w:vAlign w:val="center"/>
          </w:tcPr>
          <w:p w14:paraId="1F96F27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硫磺</w:t>
            </w:r>
          </w:p>
        </w:tc>
        <w:tc>
          <w:tcPr>
            <w:tcW w:w="681" w:type="pct"/>
            <w:vAlign w:val="center"/>
          </w:tcPr>
          <w:p w14:paraId="1E7820A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硫</w:t>
            </w:r>
          </w:p>
        </w:tc>
        <w:tc>
          <w:tcPr>
            <w:tcW w:w="691" w:type="pct"/>
            <w:vAlign w:val="center"/>
          </w:tcPr>
          <w:p w14:paraId="74E4EF7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kern w:val="0"/>
                <w:sz w:val="21"/>
                <w:szCs w:val="21"/>
                <w14:textFill>
                  <w14:solidFill>
                    <w14:schemeClr w14:val="tx1"/>
                  </w14:solidFill>
                </w14:textFill>
              </w:rPr>
              <w:t>7704-34-9</w:t>
            </w:r>
          </w:p>
        </w:tc>
        <w:tc>
          <w:tcPr>
            <w:tcW w:w="1812" w:type="pct"/>
            <w:vAlign w:val="center"/>
          </w:tcPr>
          <w:p w14:paraId="0584C17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易燃固体，类别2</w:t>
            </w:r>
          </w:p>
        </w:tc>
        <w:tc>
          <w:tcPr>
            <w:tcW w:w="394" w:type="pct"/>
            <w:vAlign w:val="center"/>
          </w:tcPr>
          <w:p w14:paraId="1B7DFA5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35560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2DA5290D">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1CC12AA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2563</w:t>
            </w:r>
          </w:p>
        </w:tc>
        <w:tc>
          <w:tcPr>
            <w:tcW w:w="609" w:type="pct"/>
            <w:vAlign w:val="center"/>
          </w:tcPr>
          <w:p w14:paraId="667B61C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一氧化碳</w:t>
            </w:r>
          </w:p>
        </w:tc>
        <w:tc>
          <w:tcPr>
            <w:tcW w:w="681" w:type="pct"/>
            <w:vAlign w:val="center"/>
          </w:tcPr>
          <w:p w14:paraId="24502D1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6C4560D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630-08-0</w:t>
            </w:r>
          </w:p>
        </w:tc>
        <w:tc>
          <w:tcPr>
            <w:tcW w:w="1812" w:type="pct"/>
            <w:vAlign w:val="center"/>
          </w:tcPr>
          <w:p w14:paraId="4381B5CB">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38C12F14">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p w14:paraId="0AD69B03">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急性毒性-吸入，类别3*</w:t>
            </w:r>
          </w:p>
          <w:p w14:paraId="0E17C4DE">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生殖毒性，类别1A</w:t>
            </w:r>
          </w:p>
          <w:p w14:paraId="502CA64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特异性靶器官毒性-反复接触，类别1</w:t>
            </w:r>
          </w:p>
        </w:tc>
        <w:tc>
          <w:tcPr>
            <w:tcW w:w="394" w:type="pct"/>
            <w:vAlign w:val="center"/>
          </w:tcPr>
          <w:p w14:paraId="403EE4D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4755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2F1A7B29">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3998957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642</w:t>
            </w:r>
          </w:p>
        </w:tc>
        <w:tc>
          <w:tcPr>
            <w:tcW w:w="609" w:type="pct"/>
            <w:vAlign w:val="center"/>
          </w:tcPr>
          <w:p w14:paraId="212792A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二氧化碳[压缩的或液化的]</w:t>
            </w:r>
          </w:p>
        </w:tc>
        <w:tc>
          <w:tcPr>
            <w:tcW w:w="681" w:type="pct"/>
            <w:vAlign w:val="center"/>
          </w:tcPr>
          <w:p w14:paraId="3AFD83F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碳酸酐</w:t>
            </w:r>
          </w:p>
        </w:tc>
        <w:tc>
          <w:tcPr>
            <w:tcW w:w="691" w:type="pct"/>
            <w:vAlign w:val="center"/>
          </w:tcPr>
          <w:p w14:paraId="161F9D4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124-38-9</w:t>
            </w:r>
          </w:p>
        </w:tc>
        <w:tc>
          <w:tcPr>
            <w:tcW w:w="1812" w:type="pct"/>
            <w:vAlign w:val="center"/>
          </w:tcPr>
          <w:p w14:paraId="4F7BB3A7">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加压气体</w:t>
            </w:r>
          </w:p>
          <w:p w14:paraId="229B1EED">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特异性靶器官毒性-一次接触，类别3（麻醉效应）</w:t>
            </w:r>
          </w:p>
        </w:tc>
        <w:tc>
          <w:tcPr>
            <w:tcW w:w="394" w:type="pct"/>
            <w:vAlign w:val="center"/>
          </w:tcPr>
          <w:p w14:paraId="76DD012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2B18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Merge w:val="restart"/>
            <w:vAlign w:val="center"/>
          </w:tcPr>
          <w:p w14:paraId="2A05B1A3">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Merge w:val="restart"/>
            <w:vAlign w:val="center"/>
          </w:tcPr>
          <w:p w14:paraId="53B038B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1669</w:t>
            </w:r>
          </w:p>
        </w:tc>
        <w:tc>
          <w:tcPr>
            <w:tcW w:w="609" w:type="pct"/>
            <w:vAlign w:val="center"/>
          </w:tcPr>
          <w:p w14:paraId="4D0AACF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氢氧化钠</w:t>
            </w:r>
          </w:p>
        </w:tc>
        <w:tc>
          <w:tcPr>
            <w:tcW w:w="681" w:type="pct"/>
            <w:vMerge w:val="restart"/>
            <w:vAlign w:val="center"/>
          </w:tcPr>
          <w:p w14:paraId="101DEDF0">
            <w:pPr>
              <w:keepNext w:val="0"/>
              <w:keepLines w:val="0"/>
              <w:pageBreakBefore w:val="0"/>
              <w:widowControl/>
              <w:kinsoku/>
              <w:wordWrap/>
              <w:overflowPunct/>
              <w:topLinePunct w:val="0"/>
              <w:autoSpaceDE/>
              <w:autoSpaceDN/>
              <w:bidi w:val="0"/>
              <w:adjustRightInd/>
              <w:snapToGrid/>
              <w:spacing w:after="0" w:line="360" w:lineRule="exact"/>
              <w:ind w:firstLine="0" w:firstLineChars="0"/>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苛性钠；烧碱</w:t>
            </w:r>
          </w:p>
        </w:tc>
        <w:tc>
          <w:tcPr>
            <w:tcW w:w="691" w:type="pct"/>
            <w:vMerge w:val="restart"/>
            <w:vAlign w:val="center"/>
          </w:tcPr>
          <w:p w14:paraId="32BA2F9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1310-73-2</w:t>
            </w:r>
          </w:p>
        </w:tc>
        <w:tc>
          <w:tcPr>
            <w:tcW w:w="1812" w:type="pct"/>
            <w:vAlign w:val="center"/>
          </w:tcPr>
          <w:p w14:paraId="0C445407">
            <w:pPr>
              <w:keepNext w:val="0"/>
              <w:keepLines w:val="0"/>
              <w:pageBreakBefore w:val="0"/>
              <w:widowControl/>
              <w:kinsoku/>
              <w:wordWrap/>
              <w:overflowPunct/>
              <w:topLinePunct w:val="0"/>
              <w:autoSpaceDE/>
              <w:autoSpaceDN/>
              <w:bidi w:val="0"/>
              <w:adjustRightInd/>
              <w:snapToGrid/>
              <w:spacing w:after="0" w:line="360" w:lineRule="exact"/>
              <w:ind w:firstLine="0" w:firstLineChars="0"/>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皮肤腐蚀/刺激，类别1A</w:t>
            </w:r>
          </w:p>
          <w:p w14:paraId="5D0EB698">
            <w:pPr>
              <w:keepNext w:val="0"/>
              <w:keepLines w:val="0"/>
              <w:pageBreakBefore w:val="0"/>
              <w:widowControl/>
              <w:kinsoku/>
              <w:wordWrap/>
              <w:overflowPunct/>
              <w:topLinePunct w:val="0"/>
              <w:autoSpaceDE/>
              <w:autoSpaceDN/>
              <w:bidi w:val="0"/>
              <w:adjustRightInd/>
              <w:snapToGrid/>
              <w:spacing w:after="0" w:line="360" w:lineRule="exact"/>
              <w:ind w:firstLine="0" w:firstLineChars="0"/>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严重眼损伤/眼刺激，类别1</w:t>
            </w:r>
          </w:p>
        </w:tc>
        <w:tc>
          <w:tcPr>
            <w:tcW w:w="394" w:type="pct"/>
            <w:vAlign w:val="center"/>
          </w:tcPr>
          <w:p w14:paraId="19EF847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7886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Merge w:val="continue"/>
            <w:vAlign w:val="center"/>
          </w:tcPr>
          <w:p w14:paraId="1CB7995B">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Merge w:val="continue"/>
            <w:vAlign w:val="center"/>
          </w:tcPr>
          <w:p w14:paraId="18C0AFC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c>
          <w:tcPr>
            <w:tcW w:w="609" w:type="pct"/>
            <w:vAlign w:val="center"/>
          </w:tcPr>
          <w:p w14:paraId="20B26BD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氢氧化钠溶液[含量≥30%]</w:t>
            </w:r>
          </w:p>
        </w:tc>
        <w:tc>
          <w:tcPr>
            <w:tcW w:w="681" w:type="pct"/>
            <w:vMerge w:val="continue"/>
            <w:vAlign w:val="center"/>
          </w:tcPr>
          <w:p w14:paraId="0B8786FB">
            <w:pPr>
              <w:keepNext w:val="0"/>
              <w:keepLines w:val="0"/>
              <w:pageBreakBefore w:val="0"/>
              <w:widowControl/>
              <w:kinsoku/>
              <w:wordWrap/>
              <w:overflowPunct/>
              <w:topLinePunct w:val="0"/>
              <w:autoSpaceDE/>
              <w:autoSpaceDN/>
              <w:bidi w:val="0"/>
              <w:adjustRightInd/>
              <w:snapToGrid/>
              <w:spacing w:after="0" w:line="360" w:lineRule="exact"/>
              <w:ind w:firstLine="0" w:firstLineChars="0"/>
              <w:rPr>
                <w:snapToGrid w:val="0"/>
                <w:color w:val="000000" w:themeColor="text1"/>
                <w:spacing w:val="6"/>
                <w:kern w:val="24"/>
                <w:sz w:val="21"/>
                <w:szCs w:val="21"/>
                <w14:textFill>
                  <w14:solidFill>
                    <w14:schemeClr w14:val="tx1"/>
                  </w14:solidFill>
                </w14:textFill>
              </w:rPr>
            </w:pPr>
          </w:p>
        </w:tc>
        <w:tc>
          <w:tcPr>
            <w:tcW w:w="691" w:type="pct"/>
            <w:vMerge w:val="continue"/>
            <w:vAlign w:val="center"/>
          </w:tcPr>
          <w:p w14:paraId="61CFCE0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snapToGrid w:val="0"/>
                <w:color w:val="000000" w:themeColor="text1"/>
                <w:spacing w:val="6"/>
                <w:kern w:val="24"/>
                <w:sz w:val="21"/>
                <w:szCs w:val="21"/>
                <w14:textFill>
                  <w14:solidFill>
                    <w14:schemeClr w14:val="tx1"/>
                  </w14:solidFill>
                </w14:textFill>
              </w:rPr>
            </w:pPr>
          </w:p>
        </w:tc>
        <w:tc>
          <w:tcPr>
            <w:tcW w:w="1812" w:type="pct"/>
            <w:vAlign w:val="center"/>
          </w:tcPr>
          <w:p w14:paraId="1761A6E3">
            <w:pPr>
              <w:keepNext w:val="0"/>
              <w:keepLines w:val="0"/>
              <w:pageBreakBefore w:val="0"/>
              <w:widowControl/>
              <w:kinsoku/>
              <w:wordWrap/>
              <w:overflowPunct/>
              <w:topLinePunct w:val="0"/>
              <w:autoSpaceDE/>
              <w:autoSpaceDN/>
              <w:bidi w:val="0"/>
              <w:adjustRightInd/>
              <w:snapToGrid/>
              <w:spacing w:after="0" w:line="360" w:lineRule="exact"/>
              <w:ind w:firstLine="0" w:firstLineChars="0"/>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皮肤腐蚀/刺激，类别1A</w:t>
            </w:r>
          </w:p>
          <w:p w14:paraId="68692BE0">
            <w:pPr>
              <w:keepNext w:val="0"/>
              <w:keepLines w:val="0"/>
              <w:pageBreakBefore w:val="0"/>
              <w:widowControl/>
              <w:kinsoku/>
              <w:wordWrap/>
              <w:overflowPunct/>
              <w:topLinePunct w:val="0"/>
              <w:autoSpaceDE/>
              <w:autoSpaceDN/>
              <w:bidi w:val="0"/>
              <w:adjustRightInd/>
              <w:snapToGrid/>
              <w:spacing w:after="0" w:line="360" w:lineRule="exact"/>
              <w:ind w:firstLine="0" w:firstLineChars="0"/>
              <w:rPr>
                <w:snapToGrid w:val="0"/>
                <w:color w:val="000000" w:themeColor="text1"/>
                <w:spacing w:val="6"/>
                <w:kern w:val="24"/>
                <w:sz w:val="21"/>
                <w:szCs w:val="21"/>
                <w14:textFill>
                  <w14:solidFill>
                    <w14:schemeClr w14:val="tx1"/>
                  </w14:solidFill>
                </w14:textFill>
              </w:rPr>
            </w:pPr>
            <w:r>
              <w:rPr>
                <w:snapToGrid w:val="0"/>
                <w:color w:val="000000" w:themeColor="text1"/>
                <w:spacing w:val="6"/>
                <w:kern w:val="24"/>
                <w:sz w:val="21"/>
                <w:szCs w:val="21"/>
                <w14:textFill>
                  <w14:solidFill>
                    <w14:schemeClr w14:val="tx1"/>
                  </w14:solidFill>
                </w14:textFill>
              </w:rPr>
              <w:t>严重眼损伤/眼刺激，类别1</w:t>
            </w:r>
          </w:p>
        </w:tc>
        <w:tc>
          <w:tcPr>
            <w:tcW w:w="394" w:type="pct"/>
            <w:vAlign w:val="center"/>
          </w:tcPr>
          <w:p w14:paraId="30694C2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47B0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26251506">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1238109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1302</w:t>
            </w:r>
          </w:p>
        </w:tc>
        <w:tc>
          <w:tcPr>
            <w:tcW w:w="609" w:type="pct"/>
            <w:vAlign w:val="center"/>
          </w:tcPr>
          <w:p w14:paraId="5EC3A01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硫酸</w:t>
            </w:r>
          </w:p>
        </w:tc>
        <w:tc>
          <w:tcPr>
            <w:tcW w:w="681" w:type="pct"/>
            <w:vAlign w:val="center"/>
          </w:tcPr>
          <w:p w14:paraId="3E0DECC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p>
        </w:tc>
        <w:tc>
          <w:tcPr>
            <w:tcW w:w="691" w:type="pct"/>
            <w:vAlign w:val="center"/>
          </w:tcPr>
          <w:p w14:paraId="638A358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7664-93-9</w:t>
            </w:r>
          </w:p>
        </w:tc>
        <w:tc>
          <w:tcPr>
            <w:tcW w:w="1812" w:type="pct"/>
            <w:vAlign w:val="center"/>
          </w:tcPr>
          <w:p w14:paraId="156EEEC8">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皮肤腐蚀/刺激，类别1A</w:t>
            </w:r>
          </w:p>
          <w:p w14:paraId="32B1731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严重眼损伤/眼刺激，类别1</w:t>
            </w:r>
          </w:p>
        </w:tc>
        <w:tc>
          <w:tcPr>
            <w:tcW w:w="394" w:type="pct"/>
            <w:vAlign w:val="center"/>
          </w:tcPr>
          <w:p w14:paraId="7AF7E85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23CE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3662EE1E">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6D6408E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1789</w:t>
            </w:r>
          </w:p>
        </w:tc>
        <w:tc>
          <w:tcPr>
            <w:tcW w:w="609" w:type="pct"/>
            <w:vAlign w:val="center"/>
          </w:tcPr>
          <w:p w14:paraId="0A13A5F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盐酸</w:t>
            </w:r>
          </w:p>
        </w:tc>
        <w:tc>
          <w:tcPr>
            <w:tcW w:w="681" w:type="pct"/>
            <w:vAlign w:val="center"/>
          </w:tcPr>
          <w:p w14:paraId="2075F5C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氢氯酸</w:t>
            </w:r>
          </w:p>
        </w:tc>
        <w:tc>
          <w:tcPr>
            <w:tcW w:w="691" w:type="pct"/>
            <w:vAlign w:val="center"/>
          </w:tcPr>
          <w:p w14:paraId="3982C7A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7647-01-0</w:t>
            </w:r>
          </w:p>
        </w:tc>
        <w:tc>
          <w:tcPr>
            <w:tcW w:w="1812" w:type="pct"/>
            <w:vAlign w:val="center"/>
          </w:tcPr>
          <w:p w14:paraId="0E8684AB">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皮肤腐蚀/刺激，类别1B</w:t>
            </w:r>
          </w:p>
          <w:p w14:paraId="0E65A553">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严重眼损伤/眼刺激，类别1</w:t>
            </w:r>
          </w:p>
          <w:p w14:paraId="208FA1FF">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特异性靶器官毒性-一次接触，类别3（呼吸道刺激）</w:t>
            </w:r>
          </w:p>
          <w:p w14:paraId="70342E95">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危害水生环境-急性危害，类别2</w:t>
            </w:r>
          </w:p>
        </w:tc>
        <w:tc>
          <w:tcPr>
            <w:tcW w:w="394" w:type="pct"/>
            <w:vAlign w:val="center"/>
          </w:tcPr>
          <w:p w14:paraId="21ADEB6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089C6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0792B5D2">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6B39C52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1917</w:t>
            </w:r>
          </w:p>
        </w:tc>
        <w:tc>
          <w:tcPr>
            <w:tcW w:w="609" w:type="pct"/>
            <w:vAlign w:val="center"/>
          </w:tcPr>
          <w:p w14:paraId="1545CAC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三乙基铝</w:t>
            </w:r>
          </w:p>
        </w:tc>
        <w:tc>
          <w:tcPr>
            <w:tcW w:w="681" w:type="pct"/>
            <w:vAlign w:val="center"/>
          </w:tcPr>
          <w:p w14:paraId="52AE8EE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p>
        </w:tc>
        <w:tc>
          <w:tcPr>
            <w:tcW w:w="691" w:type="pct"/>
            <w:vAlign w:val="center"/>
          </w:tcPr>
          <w:p w14:paraId="1896A47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97-93-8</w:t>
            </w:r>
          </w:p>
        </w:tc>
        <w:tc>
          <w:tcPr>
            <w:tcW w:w="1812" w:type="pct"/>
            <w:vAlign w:val="center"/>
          </w:tcPr>
          <w:p w14:paraId="6594403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自燃液体，类别1</w:t>
            </w:r>
          </w:p>
          <w:p w14:paraId="3B276A10">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遇水放出易燃气体的物质和混合物，类别1</w:t>
            </w:r>
          </w:p>
          <w:p w14:paraId="79B3F2C3">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皮肤腐蚀/刺激，类别1</w:t>
            </w:r>
          </w:p>
          <w:p w14:paraId="74A64A10">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严重眼损伤/眼刺激，类别1</w:t>
            </w:r>
          </w:p>
        </w:tc>
        <w:tc>
          <w:tcPr>
            <w:tcW w:w="394" w:type="pct"/>
            <w:vAlign w:val="center"/>
          </w:tcPr>
          <w:p w14:paraId="563F52F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7A58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383A7282">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7BB883D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1148</w:t>
            </w:r>
          </w:p>
        </w:tc>
        <w:tc>
          <w:tcPr>
            <w:tcW w:w="609" w:type="pct"/>
            <w:vAlign w:val="center"/>
          </w:tcPr>
          <w:p w14:paraId="042261B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甲基叔丁基醚</w:t>
            </w:r>
          </w:p>
        </w:tc>
        <w:tc>
          <w:tcPr>
            <w:tcW w:w="681" w:type="pct"/>
            <w:vAlign w:val="center"/>
          </w:tcPr>
          <w:p w14:paraId="54F1CEB1">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2-甲氧基-2-甲基丙烷；MTBE</w:t>
            </w:r>
          </w:p>
        </w:tc>
        <w:tc>
          <w:tcPr>
            <w:tcW w:w="691" w:type="pct"/>
            <w:vAlign w:val="center"/>
          </w:tcPr>
          <w:p w14:paraId="5AACFB6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1634-04-4</w:t>
            </w:r>
          </w:p>
        </w:tc>
        <w:tc>
          <w:tcPr>
            <w:tcW w:w="1812" w:type="pct"/>
            <w:vAlign w:val="center"/>
          </w:tcPr>
          <w:p w14:paraId="50F151C5">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易燃液体，类别2</w:t>
            </w:r>
          </w:p>
          <w:p w14:paraId="5BC1679B">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皮肤腐蚀/刺激，类别2</w:t>
            </w:r>
          </w:p>
        </w:tc>
        <w:tc>
          <w:tcPr>
            <w:tcW w:w="394" w:type="pct"/>
            <w:vAlign w:val="center"/>
          </w:tcPr>
          <w:p w14:paraId="2886C84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r w14:paraId="2DB2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2" w:type="pct"/>
            <w:vAlign w:val="center"/>
          </w:tcPr>
          <w:p w14:paraId="011EA6D3">
            <w:pPr>
              <w:keepNext w:val="0"/>
              <w:keepLines w:val="0"/>
              <w:pageBreakBefore w:val="0"/>
              <w:widowControl/>
              <w:numPr>
                <w:ilvl w:val="0"/>
                <w:numId w:val="1"/>
              </w:numPr>
              <w:kinsoku/>
              <w:wordWrap/>
              <w:overflowPunct/>
              <w:topLinePunct w:val="0"/>
              <w:autoSpaceDE/>
              <w:autoSpaceDN/>
              <w:bidi w:val="0"/>
              <w:adjustRightInd/>
              <w:snapToGrid/>
              <w:spacing w:after="0" w:line="360" w:lineRule="exact"/>
              <w:ind w:firstLineChars="0"/>
              <w:jc w:val="center"/>
              <w:rPr>
                <w:color w:val="000000" w:themeColor="text1"/>
                <w:kern w:val="0"/>
                <w:sz w:val="21"/>
                <w:szCs w:val="21"/>
                <w14:textFill>
                  <w14:solidFill>
                    <w14:schemeClr w14:val="tx1"/>
                  </w14:solidFill>
                </w14:textFill>
              </w:rPr>
            </w:pPr>
          </w:p>
        </w:tc>
        <w:tc>
          <w:tcPr>
            <w:tcW w:w="390" w:type="pct"/>
            <w:vAlign w:val="center"/>
          </w:tcPr>
          <w:p w14:paraId="376980A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1971</w:t>
            </w:r>
          </w:p>
        </w:tc>
        <w:tc>
          <w:tcPr>
            <w:tcW w:w="609" w:type="pct"/>
            <w:vAlign w:val="center"/>
          </w:tcPr>
          <w:p w14:paraId="597553E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天然气</w:t>
            </w:r>
          </w:p>
        </w:tc>
        <w:tc>
          <w:tcPr>
            <w:tcW w:w="681" w:type="pct"/>
            <w:vAlign w:val="center"/>
          </w:tcPr>
          <w:p w14:paraId="674D0F2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沼气</w:t>
            </w:r>
          </w:p>
        </w:tc>
        <w:tc>
          <w:tcPr>
            <w:tcW w:w="691" w:type="pct"/>
            <w:vAlign w:val="center"/>
          </w:tcPr>
          <w:p w14:paraId="3E7CA2A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8006-14-2</w:t>
            </w:r>
          </w:p>
        </w:tc>
        <w:tc>
          <w:tcPr>
            <w:tcW w:w="1812" w:type="pct"/>
            <w:vAlign w:val="center"/>
          </w:tcPr>
          <w:p w14:paraId="46EAE27C">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易燃气体，类别1</w:t>
            </w:r>
          </w:p>
          <w:p w14:paraId="1DD5CF22">
            <w:pPr>
              <w:keepNext w:val="0"/>
              <w:keepLines w:val="0"/>
              <w:pageBreakBefore w:val="0"/>
              <w:widowControl/>
              <w:kinsoku/>
              <w:wordWrap/>
              <w:overflowPunct/>
              <w:topLinePunct w:val="0"/>
              <w:autoSpaceDE/>
              <w:autoSpaceDN/>
              <w:bidi w:val="0"/>
              <w:adjustRightInd/>
              <w:snapToGrid/>
              <w:spacing w:after="0" w:line="360" w:lineRule="exact"/>
              <w:ind w:firstLine="0" w:firstLineChars="0"/>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加压气体</w:t>
            </w:r>
          </w:p>
        </w:tc>
        <w:tc>
          <w:tcPr>
            <w:tcW w:w="394" w:type="pct"/>
            <w:vAlign w:val="center"/>
          </w:tcPr>
          <w:p w14:paraId="0066CC5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p>
        </w:tc>
      </w:tr>
    </w:tbl>
    <w:p w14:paraId="1FF79E3C">
      <w:pPr>
        <w:pStyle w:val="3"/>
        <w:widowControl/>
        <w:ind w:firstLine="0" w:firstLineChars="0"/>
        <w:jc w:val="left"/>
        <w:rPr>
          <w:rFonts w:hint="eastAsia" w:ascii="黑体" w:hAnsi="宋体" w:eastAsia="黑体" w:cstheme="majorBidi"/>
          <w:kern w:val="0"/>
          <w:sz w:val="21"/>
          <w:szCs w:val="21"/>
          <w:lang w:val="en-US" w:eastAsia="zh-CN"/>
        </w:rPr>
      </w:pPr>
      <w:bookmarkStart w:id="101" w:name="_Toc20172"/>
      <w:bookmarkStart w:id="102" w:name="_Toc13999"/>
      <w:bookmarkStart w:id="103" w:name="_Toc5480"/>
      <w:r>
        <w:rPr>
          <w:rFonts w:hint="eastAsia" w:ascii="黑体" w:hAnsi="宋体" w:eastAsia="黑体" w:cstheme="majorBidi"/>
          <w:kern w:val="0"/>
          <w:sz w:val="21"/>
          <w:szCs w:val="21"/>
          <w:lang w:val="en-US" w:eastAsia="zh-CN"/>
        </w:rPr>
        <w:t>8.2.3  重点监管危险化学品辨识</w:t>
      </w:r>
      <w:bookmarkEnd w:id="101"/>
      <w:bookmarkEnd w:id="102"/>
      <w:bookmarkEnd w:id="103"/>
    </w:p>
    <w:p w14:paraId="33B44C3A">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根据《重点监管的危险化学品名录》（2013年完整版）对本项目的危险化学品进行辨识，辨识结果如下表</w:t>
      </w:r>
      <w:r>
        <w:rPr>
          <w:rFonts w:hint="eastAsia" w:ascii="宋体" w:hAnsi="宋体" w:eastAsia="宋体" w:cs="Times New Roman"/>
          <w:spacing w:val="0"/>
          <w:kern w:val="0"/>
          <w:sz w:val="21"/>
          <w:szCs w:val="21"/>
          <w:lang w:val="en-US" w:eastAsia="zh-CN"/>
        </w:rPr>
        <w:t>8</w:t>
      </w:r>
      <w:r>
        <w:rPr>
          <w:rFonts w:hint="eastAsia" w:ascii="宋体" w:hAnsi="宋体" w:eastAsia="宋体" w:cs="Times New Roman"/>
          <w:spacing w:val="0"/>
          <w:kern w:val="0"/>
          <w:sz w:val="21"/>
          <w:szCs w:val="21"/>
        </w:rPr>
        <w:t>.</w:t>
      </w:r>
      <w:r>
        <w:rPr>
          <w:rFonts w:hint="eastAsia" w:ascii="宋体" w:hAnsi="宋体" w:eastAsia="宋体" w:cs="Times New Roman"/>
          <w:spacing w:val="0"/>
          <w:kern w:val="0"/>
          <w:sz w:val="21"/>
          <w:szCs w:val="21"/>
          <w:lang w:val="en-US" w:eastAsia="zh-CN"/>
        </w:rPr>
        <w:t>2</w:t>
      </w:r>
      <w:r>
        <w:rPr>
          <w:rFonts w:hint="eastAsia" w:ascii="宋体" w:hAnsi="宋体" w:eastAsia="宋体" w:cs="Times New Roman"/>
          <w:spacing w:val="0"/>
          <w:kern w:val="0"/>
          <w:sz w:val="21"/>
          <w:szCs w:val="21"/>
        </w:rPr>
        <w:t>-3所示。</w:t>
      </w:r>
    </w:p>
    <w:p w14:paraId="252DE5E2">
      <w:pPr>
        <w:widowControl/>
        <w:spacing w:before="0" w:after="0" w:line="360" w:lineRule="exact"/>
        <w:ind w:left="0" w:firstLine="420" w:firstLineChars="200"/>
        <w:jc w:val="left"/>
        <w:rPr>
          <w:rFonts w:hint="eastAsia" w:ascii="宋体" w:hAnsi="宋体" w:eastAsia="宋体" w:cs="Times New Roman"/>
          <w:spacing w:val="0"/>
          <w:kern w:val="0"/>
          <w:sz w:val="21"/>
          <w:szCs w:val="21"/>
        </w:rPr>
      </w:pPr>
    </w:p>
    <w:p w14:paraId="7397B763">
      <w:pPr>
        <w:widowControl/>
        <w:spacing w:before="0" w:after="0" w:line="360" w:lineRule="exact"/>
        <w:ind w:left="0" w:firstLine="420" w:firstLineChars="200"/>
        <w:jc w:val="left"/>
        <w:rPr>
          <w:rFonts w:hint="eastAsia" w:ascii="宋体" w:hAnsi="宋体" w:eastAsia="宋体" w:cs="Times New Roman"/>
          <w:spacing w:val="0"/>
          <w:kern w:val="0"/>
          <w:sz w:val="21"/>
          <w:szCs w:val="21"/>
        </w:rPr>
      </w:pPr>
    </w:p>
    <w:p w14:paraId="7C9E87AD">
      <w:pPr>
        <w:widowControl/>
        <w:spacing w:before="100" w:after="100" w:line="360" w:lineRule="exact"/>
        <w:ind w:firstLine="0" w:firstLineChars="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表</w:t>
      </w:r>
      <w:r>
        <w:rPr>
          <w:rFonts w:hint="eastAsia" w:ascii="宋体" w:hAnsi="宋体" w:cs="宋体"/>
          <w:b/>
          <w:bCs/>
          <w:kern w:val="0"/>
          <w:sz w:val="24"/>
          <w:szCs w:val="24"/>
          <w:lang w:val="en-US" w:eastAsia="zh-CN"/>
        </w:rPr>
        <w:t>8</w:t>
      </w: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-3  重点监管的危险化学品辨识表</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2" w:type="dxa"/>
          <w:left w:w="64" w:type="dxa"/>
          <w:bottom w:w="32" w:type="dxa"/>
          <w:right w:w="64" w:type="dxa"/>
        </w:tblCellMar>
      </w:tblPr>
      <w:tblGrid>
        <w:gridCol w:w="776"/>
        <w:gridCol w:w="2847"/>
        <w:gridCol w:w="3465"/>
        <w:gridCol w:w="1416"/>
      </w:tblGrid>
      <w:tr w14:paraId="4B27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782" w:type="dxa"/>
            <w:vAlign w:val="center"/>
          </w:tcPr>
          <w:p w14:paraId="1778408E">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hint="eastAsia" w:eastAsia="宋体"/>
                <w:b/>
                <w:color w:val="000000" w:themeColor="text1"/>
                <w:sz w:val="21"/>
                <w:szCs w:val="21"/>
                <w:lang w:eastAsia="zh-CN"/>
                <w14:textFill>
                  <w14:solidFill>
                    <w14:schemeClr w14:val="tx1"/>
                  </w14:solidFill>
                </w14:textFill>
              </w:rPr>
            </w:pPr>
            <w:r>
              <w:rPr>
                <w:rFonts w:hint="eastAsia"/>
                <w:b/>
                <w:color w:val="000000" w:themeColor="text1"/>
                <w:sz w:val="21"/>
                <w:szCs w:val="21"/>
                <w:lang w:eastAsia="zh-CN"/>
                <w14:textFill>
                  <w14:solidFill>
                    <w14:schemeClr w14:val="tx1"/>
                  </w14:solidFill>
                </w14:textFill>
              </w:rPr>
              <w:t>序号</w:t>
            </w:r>
          </w:p>
        </w:tc>
        <w:tc>
          <w:tcPr>
            <w:tcW w:w="2870" w:type="dxa"/>
            <w:vAlign w:val="center"/>
          </w:tcPr>
          <w:p w14:paraId="4B597770">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hint="eastAsia" w:eastAsia="宋体"/>
                <w:b/>
                <w:color w:val="000000" w:themeColor="text1"/>
                <w:sz w:val="21"/>
                <w:szCs w:val="21"/>
                <w:lang w:eastAsia="zh-CN"/>
                <w14:textFill>
                  <w14:solidFill>
                    <w14:schemeClr w14:val="tx1"/>
                  </w14:solidFill>
                </w14:textFill>
              </w:rPr>
            </w:pPr>
            <w:r>
              <w:rPr>
                <w:rFonts w:hint="eastAsia"/>
                <w:b/>
                <w:color w:val="000000" w:themeColor="text1"/>
                <w:sz w:val="21"/>
                <w:szCs w:val="21"/>
                <w:lang w:eastAsia="zh-CN"/>
                <w14:textFill>
                  <w14:solidFill>
                    <w14:schemeClr w14:val="tx1"/>
                  </w14:solidFill>
                </w14:textFill>
              </w:rPr>
              <w:t>化学品名称</w:t>
            </w:r>
          </w:p>
        </w:tc>
        <w:tc>
          <w:tcPr>
            <w:tcW w:w="3494" w:type="dxa"/>
            <w:vAlign w:val="center"/>
          </w:tcPr>
          <w:p w14:paraId="0D1A4D59">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hint="eastAsia" w:eastAsia="宋体"/>
                <w:b/>
                <w:color w:val="000000" w:themeColor="text1"/>
                <w:sz w:val="21"/>
                <w:szCs w:val="21"/>
                <w:lang w:eastAsia="zh-CN"/>
                <w14:textFill>
                  <w14:solidFill>
                    <w14:schemeClr w14:val="tx1"/>
                  </w14:solidFill>
                </w14:textFill>
              </w:rPr>
            </w:pPr>
            <w:r>
              <w:rPr>
                <w:rFonts w:hint="eastAsia"/>
                <w:b/>
                <w:color w:val="000000" w:themeColor="text1"/>
                <w:sz w:val="21"/>
                <w:szCs w:val="21"/>
                <w:lang w:eastAsia="zh-CN"/>
                <w14:textFill>
                  <w14:solidFill>
                    <w14:schemeClr w14:val="tx1"/>
                  </w14:solidFill>
                </w14:textFill>
              </w:rPr>
              <w:t>别名</w:t>
            </w:r>
          </w:p>
        </w:tc>
        <w:tc>
          <w:tcPr>
            <w:tcW w:w="1427" w:type="dxa"/>
            <w:vAlign w:val="center"/>
          </w:tcPr>
          <w:p w14:paraId="5EFF57C5">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hint="eastAsia" w:eastAsia="宋体"/>
                <w:b/>
                <w:color w:val="000000" w:themeColor="text1"/>
                <w:sz w:val="21"/>
                <w:szCs w:val="21"/>
                <w:lang w:eastAsia="zh-CN"/>
                <w14:textFill>
                  <w14:solidFill>
                    <w14:schemeClr w14:val="tx1"/>
                  </w14:solidFill>
                </w14:textFill>
              </w:rPr>
            </w:pPr>
            <w:r>
              <w:rPr>
                <w:rFonts w:hint="eastAsia"/>
                <w:b/>
                <w:color w:val="000000" w:themeColor="text1"/>
                <w:sz w:val="21"/>
                <w:szCs w:val="21"/>
                <w:lang w:eastAsia="zh-CN"/>
                <w14:textFill>
                  <w14:solidFill>
                    <w14:schemeClr w14:val="tx1"/>
                  </w14:solidFill>
                </w14:textFill>
              </w:rPr>
              <w:t>CAS号</w:t>
            </w:r>
          </w:p>
        </w:tc>
      </w:tr>
      <w:tr w14:paraId="494A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06230941">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6E2F14BB">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石油原油</w:t>
            </w:r>
          </w:p>
        </w:tc>
        <w:tc>
          <w:tcPr>
            <w:tcW w:w="3494" w:type="dxa"/>
            <w:vAlign w:val="center"/>
          </w:tcPr>
          <w:p w14:paraId="1500CF95">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原油</w:t>
            </w:r>
          </w:p>
        </w:tc>
        <w:tc>
          <w:tcPr>
            <w:tcW w:w="1427" w:type="dxa"/>
            <w:vAlign w:val="center"/>
          </w:tcPr>
          <w:p w14:paraId="50E0BF42">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8002-05-9</w:t>
            </w:r>
          </w:p>
        </w:tc>
      </w:tr>
      <w:tr w14:paraId="62B6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7165469B">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16F8DCAC">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石脑油、汽油</w:t>
            </w:r>
          </w:p>
        </w:tc>
        <w:tc>
          <w:tcPr>
            <w:tcW w:w="3494" w:type="dxa"/>
            <w:vAlign w:val="center"/>
          </w:tcPr>
          <w:p w14:paraId="5A736199">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p>
        </w:tc>
        <w:tc>
          <w:tcPr>
            <w:tcW w:w="1427" w:type="dxa"/>
            <w:vAlign w:val="center"/>
          </w:tcPr>
          <w:p w14:paraId="4DF96A16">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8030-30-6</w:t>
            </w:r>
          </w:p>
        </w:tc>
      </w:tr>
      <w:tr w14:paraId="1FC4B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0BE54E21">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2F9BF4A1">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液化石油气</w:t>
            </w:r>
          </w:p>
        </w:tc>
        <w:tc>
          <w:tcPr>
            <w:tcW w:w="3494" w:type="dxa"/>
            <w:vAlign w:val="center"/>
          </w:tcPr>
          <w:p w14:paraId="1312E490">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石油气[液化的]</w:t>
            </w:r>
          </w:p>
        </w:tc>
        <w:tc>
          <w:tcPr>
            <w:tcW w:w="1427" w:type="dxa"/>
            <w:vAlign w:val="center"/>
          </w:tcPr>
          <w:p w14:paraId="0D8CCEBF">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68476-85-7</w:t>
            </w:r>
          </w:p>
        </w:tc>
      </w:tr>
      <w:tr w14:paraId="4CD8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64B15475">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0A20ED99">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苯</w:t>
            </w:r>
          </w:p>
        </w:tc>
        <w:tc>
          <w:tcPr>
            <w:tcW w:w="3494" w:type="dxa"/>
            <w:vAlign w:val="center"/>
          </w:tcPr>
          <w:p w14:paraId="40C6AE3D">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纯苯</w:t>
            </w:r>
          </w:p>
        </w:tc>
        <w:tc>
          <w:tcPr>
            <w:tcW w:w="1427" w:type="dxa"/>
            <w:vAlign w:val="center"/>
          </w:tcPr>
          <w:p w14:paraId="6F5D0078">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71-43-2</w:t>
            </w:r>
          </w:p>
        </w:tc>
      </w:tr>
      <w:tr w14:paraId="115A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75429B5D">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77D73F21">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hint="eastAsia" w:ascii="Calibri" w:eastAsia="宋体"/>
                <w:color w:val="000000" w:themeColor="text1"/>
                <w:kern w:val="0"/>
                <w:sz w:val="21"/>
                <w:szCs w:val="21"/>
                <w14:textFill>
                  <w14:solidFill>
                    <w14:schemeClr w14:val="tx1"/>
                  </w14:solidFill>
                </w14:textFill>
              </w:rPr>
              <w:t>甲苯</w:t>
            </w:r>
          </w:p>
        </w:tc>
        <w:tc>
          <w:tcPr>
            <w:tcW w:w="3494" w:type="dxa"/>
            <w:vAlign w:val="center"/>
          </w:tcPr>
          <w:p w14:paraId="35DFA867">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甲基苯；苯基甲烷</w:t>
            </w:r>
          </w:p>
        </w:tc>
        <w:tc>
          <w:tcPr>
            <w:tcW w:w="1427" w:type="dxa"/>
            <w:vAlign w:val="center"/>
          </w:tcPr>
          <w:p w14:paraId="3C140EC3">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spacing w:val="-10"/>
                <w:kern w:val="0"/>
                <w:sz w:val="21"/>
                <w:szCs w:val="21"/>
                <w14:textFill>
                  <w14:solidFill>
                    <w14:schemeClr w14:val="tx1"/>
                  </w14:solidFill>
                </w14:textFill>
              </w:rPr>
              <w:t>108-88-3</w:t>
            </w:r>
          </w:p>
        </w:tc>
      </w:tr>
      <w:tr w14:paraId="4779A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51FF9F24">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1B0B2993">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氢气</w:t>
            </w:r>
          </w:p>
        </w:tc>
        <w:tc>
          <w:tcPr>
            <w:tcW w:w="3494" w:type="dxa"/>
            <w:vAlign w:val="center"/>
          </w:tcPr>
          <w:p w14:paraId="758EE2F5">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p>
        </w:tc>
        <w:tc>
          <w:tcPr>
            <w:tcW w:w="1427" w:type="dxa"/>
            <w:vAlign w:val="center"/>
          </w:tcPr>
          <w:p w14:paraId="6B68A36D">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1333-74-0</w:t>
            </w:r>
          </w:p>
        </w:tc>
      </w:tr>
      <w:tr w14:paraId="41F7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66BF5281">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4FC7A7B5">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硫化氢</w:t>
            </w:r>
          </w:p>
        </w:tc>
        <w:tc>
          <w:tcPr>
            <w:tcW w:w="3494" w:type="dxa"/>
            <w:vAlign w:val="center"/>
          </w:tcPr>
          <w:p w14:paraId="422587BC">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p>
        </w:tc>
        <w:tc>
          <w:tcPr>
            <w:tcW w:w="1427" w:type="dxa"/>
            <w:vAlign w:val="center"/>
          </w:tcPr>
          <w:p w14:paraId="79CE5042">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7783-06-4</w:t>
            </w:r>
          </w:p>
        </w:tc>
      </w:tr>
      <w:tr w14:paraId="5BE7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69A5229E">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77A42871">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甲烷、燃料气</w:t>
            </w:r>
            <w:r>
              <w:rPr>
                <w:rFonts w:hint="eastAsia" w:ascii="Calibri" w:eastAsia="宋体"/>
                <w:color w:val="000000" w:themeColor="text1"/>
                <w:kern w:val="0"/>
                <w:sz w:val="21"/>
                <w:szCs w:val="21"/>
                <w14:textFill>
                  <w14:solidFill>
                    <w14:schemeClr w14:val="tx1"/>
                  </w14:solidFill>
                </w14:textFill>
              </w:rPr>
              <w:t>、天然气</w:t>
            </w:r>
          </w:p>
        </w:tc>
        <w:tc>
          <w:tcPr>
            <w:tcW w:w="3494" w:type="dxa"/>
            <w:vAlign w:val="center"/>
          </w:tcPr>
          <w:p w14:paraId="5AC24833">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p>
        </w:tc>
        <w:tc>
          <w:tcPr>
            <w:tcW w:w="1427" w:type="dxa"/>
            <w:vAlign w:val="center"/>
          </w:tcPr>
          <w:p w14:paraId="532EA369">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74-82-8</w:t>
            </w:r>
          </w:p>
        </w:tc>
      </w:tr>
      <w:tr w14:paraId="6667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3E67FC40">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22048B1C">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丙烯</w:t>
            </w:r>
          </w:p>
        </w:tc>
        <w:tc>
          <w:tcPr>
            <w:tcW w:w="3494" w:type="dxa"/>
            <w:vAlign w:val="center"/>
          </w:tcPr>
          <w:p w14:paraId="1CD983F7">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p>
        </w:tc>
        <w:tc>
          <w:tcPr>
            <w:tcW w:w="1427" w:type="dxa"/>
            <w:vAlign w:val="center"/>
          </w:tcPr>
          <w:p w14:paraId="505593CE">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115-07-1</w:t>
            </w:r>
          </w:p>
        </w:tc>
      </w:tr>
      <w:tr w14:paraId="7CA1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337D13F9">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0A07A8F5">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氨</w:t>
            </w:r>
          </w:p>
        </w:tc>
        <w:tc>
          <w:tcPr>
            <w:tcW w:w="3494" w:type="dxa"/>
            <w:vAlign w:val="center"/>
          </w:tcPr>
          <w:p w14:paraId="57B2606F">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液氨；氨气</w:t>
            </w:r>
          </w:p>
        </w:tc>
        <w:tc>
          <w:tcPr>
            <w:tcW w:w="1427" w:type="dxa"/>
            <w:vAlign w:val="center"/>
          </w:tcPr>
          <w:p w14:paraId="7840785C">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7664-41-7</w:t>
            </w:r>
          </w:p>
        </w:tc>
      </w:tr>
      <w:tr w14:paraId="1021A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0826C713">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4F796EDC">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二氧化硫</w:t>
            </w:r>
          </w:p>
        </w:tc>
        <w:tc>
          <w:tcPr>
            <w:tcW w:w="3494" w:type="dxa"/>
            <w:vAlign w:val="center"/>
          </w:tcPr>
          <w:p w14:paraId="546A797B">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亚硫酸酐</w:t>
            </w:r>
          </w:p>
        </w:tc>
        <w:tc>
          <w:tcPr>
            <w:tcW w:w="1427" w:type="dxa"/>
            <w:vAlign w:val="center"/>
          </w:tcPr>
          <w:p w14:paraId="75B583B9">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7446-09-5</w:t>
            </w:r>
          </w:p>
        </w:tc>
      </w:tr>
      <w:tr w14:paraId="157F5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72E6771F">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335AC3C2">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一氧化碳</w:t>
            </w:r>
          </w:p>
        </w:tc>
        <w:tc>
          <w:tcPr>
            <w:tcW w:w="3494" w:type="dxa"/>
            <w:vAlign w:val="center"/>
          </w:tcPr>
          <w:p w14:paraId="54DA39C1">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p>
        </w:tc>
        <w:tc>
          <w:tcPr>
            <w:tcW w:w="1427" w:type="dxa"/>
            <w:vAlign w:val="center"/>
          </w:tcPr>
          <w:p w14:paraId="7B3ED460">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630-08-0</w:t>
            </w:r>
          </w:p>
        </w:tc>
      </w:tr>
      <w:tr w14:paraId="3D59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6F9EFCBE">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46182B33">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甲醇</w:t>
            </w:r>
          </w:p>
        </w:tc>
        <w:tc>
          <w:tcPr>
            <w:tcW w:w="3494" w:type="dxa"/>
            <w:vAlign w:val="center"/>
          </w:tcPr>
          <w:p w14:paraId="2DDF71CF">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木醇；木精</w:t>
            </w:r>
          </w:p>
        </w:tc>
        <w:tc>
          <w:tcPr>
            <w:tcW w:w="1427" w:type="dxa"/>
            <w:vAlign w:val="center"/>
          </w:tcPr>
          <w:p w14:paraId="552CCE36">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67-56-1</w:t>
            </w:r>
          </w:p>
        </w:tc>
      </w:tr>
      <w:tr w14:paraId="0E3C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15146433">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1AF34976">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甲基叔丁基醚</w:t>
            </w:r>
          </w:p>
        </w:tc>
        <w:tc>
          <w:tcPr>
            <w:tcW w:w="3494" w:type="dxa"/>
            <w:vAlign w:val="center"/>
          </w:tcPr>
          <w:p w14:paraId="54F0B368">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2-甲氧基-2-甲基丙烷；MTBE</w:t>
            </w:r>
          </w:p>
        </w:tc>
        <w:tc>
          <w:tcPr>
            <w:tcW w:w="1427" w:type="dxa"/>
            <w:vAlign w:val="center"/>
          </w:tcPr>
          <w:p w14:paraId="77395BF3">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kern w:val="0"/>
                <w:sz w:val="21"/>
                <w:szCs w:val="21"/>
                <w14:textFill>
                  <w14:solidFill>
                    <w14:schemeClr w14:val="tx1"/>
                  </w14:solidFill>
                </w14:textFill>
              </w:rPr>
              <w:t>1634-04-4</w:t>
            </w:r>
          </w:p>
        </w:tc>
      </w:tr>
      <w:tr w14:paraId="44987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782" w:type="dxa"/>
            <w:vAlign w:val="center"/>
          </w:tcPr>
          <w:p w14:paraId="06412F76">
            <w:pPr>
              <w:keepNext w:val="0"/>
              <w:keepLines w:val="0"/>
              <w:pageBreakBefore w:val="0"/>
              <w:widowControl/>
              <w:numPr>
                <w:ilvl w:val="0"/>
                <w:numId w:val="4"/>
              </w:numPr>
              <w:kinsoku/>
              <w:wordWrap/>
              <w:overflowPunct/>
              <w:topLinePunct w:val="0"/>
              <w:autoSpaceDE/>
              <w:autoSpaceDN/>
              <w:bidi w:val="0"/>
              <w:adjustRightInd/>
              <w:snapToGrid/>
              <w:spacing w:after="0" w:line="360" w:lineRule="exact"/>
              <w:ind w:left="420" w:hanging="420" w:firstLineChars="0"/>
              <w:jc w:val="center"/>
              <w:textAlignment w:val="auto"/>
              <w:rPr>
                <w:rFonts w:ascii="Calibri" w:eastAsia="宋体"/>
                <w:color w:val="000000" w:themeColor="text1"/>
                <w:sz w:val="21"/>
                <w:szCs w:val="21"/>
                <w14:textFill>
                  <w14:solidFill>
                    <w14:schemeClr w14:val="tx1"/>
                  </w14:solidFill>
                </w14:textFill>
              </w:rPr>
            </w:pPr>
          </w:p>
        </w:tc>
        <w:tc>
          <w:tcPr>
            <w:tcW w:w="2870" w:type="dxa"/>
            <w:vAlign w:val="center"/>
          </w:tcPr>
          <w:p w14:paraId="7A0DE589">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hint="eastAsia" w:ascii="Calibri" w:eastAsia="宋体"/>
                <w:color w:val="000000" w:themeColor="text1"/>
                <w:kern w:val="0"/>
                <w:sz w:val="21"/>
                <w:szCs w:val="21"/>
                <w14:textFill>
                  <w14:solidFill>
                    <w14:schemeClr w14:val="tx1"/>
                  </w14:solidFill>
                </w14:textFill>
              </w:rPr>
              <w:t>乙烷</w:t>
            </w:r>
          </w:p>
        </w:tc>
        <w:tc>
          <w:tcPr>
            <w:tcW w:w="3494" w:type="dxa"/>
            <w:vAlign w:val="center"/>
          </w:tcPr>
          <w:p w14:paraId="7E0C5F5C">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p>
        </w:tc>
        <w:tc>
          <w:tcPr>
            <w:tcW w:w="1427" w:type="dxa"/>
            <w:vAlign w:val="center"/>
          </w:tcPr>
          <w:p w14:paraId="4201840A">
            <w:pPr>
              <w:keepNext w:val="0"/>
              <w:keepLines w:val="0"/>
              <w:pageBreakBefore w:val="0"/>
              <w:widowControl/>
              <w:kinsoku/>
              <w:wordWrap/>
              <w:overflowPunct/>
              <w:topLinePunct w:val="0"/>
              <w:autoSpaceDE/>
              <w:autoSpaceDN/>
              <w:bidi w:val="0"/>
              <w:adjustRightInd/>
              <w:snapToGrid/>
              <w:spacing w:after="0" w:line="360" w:lineRule="exact"/>
              <w:ind w:left="0" w:firstLine="0" w:firstLineChars="0"/>
              <w:jc w:val="center"/>
              <w:textAlignment w:val="auto"/>
              <w:rPr>
                <w:rFonts w:ascii="Calibri" w:eastAsia="宋体"/>
                <w:color w:val="000000" w:themeColor="text1"/>
                <w:kern w:val="0"/>
                <w:sz w:val="21"/>
                <w:szCs w:val="21"/>
                <w14:textFill>
                  <w14:solidFill>
                    <w14:schemeClr w14:val="tx1"/>
                  </w14:solidFill>
                </w14:textFill>
              </w:rPr>
            </w:pPr>
            <w:r>
              <w:rPr>
                <w:rFonts w:ascii="Calibri" w:eastAsia="宋体"/>
                <w:color w:val="000000" w:themeColor="text1"/>
                <w:sz w:val="21"/>
                <w:szCs w:val="21"/>
                <w14:textFill>
                  <w14:solidFill>
                    <w14:schemeClr w14:val="tx1"/>
                  </w14:solidFill>
                </w14:textFill>
              </w:rPr>
              <w:t>74-84-0</w:t>
            </w:r>
          </w:p>
        </w:tc>
      </w:tr>
    </w:tbl>
    <w:p w14:paraId="4F049DFD">
      <w:pPr>
        <w:pStyle w:val="3"/>
        <w:widowControl/>
        <w:ind w:firstLine="0" w:firstLineChars="0"/>
        <w:jc w:val="left"/>
        <w:rPr>
          <w:rFonts w:hint="eastAsia" w:ascii="黑体" w:hAnsi="宋体" w:eastAsia="黑体" w:cstheme="majorBidi"/>
          <w:kern w:val="0"/>
          <w:sz w:val="21"/>
          <w:szCs w:val="21"/>
          <w:lang w:val="en-US" w:eastAsia="zh-CN"/>
        </w:rPr>
      </w:pPr>
      <w:bookmarkStart w:id="104" w:name="_Toc25725"/>
      <w:bookmarkStart w:id="105" w:name="_Toc12041"/>
      <w:bookmarkStart w:id="106" w:name="_Toc27943"/>
      <w:r>
        <w:rPr>
          <w:rFonts w:hint="eastAsia" w:ascii="黑体" w:hAnsi="宋体" w:eastAsia="黑体" w:cstheme="majorBidi"/>
          <w:kern w:val="0"/>
          <w:sz w:val="21"/>
          <w:szCs w:val="21"/>
          <w:lang w:val="en-US" w:eastAsia="zh-CN"/>
        </w:rPr>
        <w:t>8.2.4  高毒化学品辨识</w:t>
      </w:r>
      <w:bookmarkEnd w:id="104"/>
      <w:bookmarkEnd w:id="105"/>
      <w:bookmarkEnd w:id="106"/>
    </w:p>
    <w:p w14:paraId="37DF4D91">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依据《高毒物品目录》（卫法监发[2003]142号），对青岛石化公司存在的化学品进行了辨识，属于高毒化学品的详见表</w:t>
      </w:r>
      <w:r>
        <w:rPr>
          <w:rFonts w:hint="eastAsia" w:ascii="宋体" w:hAnsi="宋体" w:cs="Times New Roman"/>
          <w:spacing w:val="0"/>
          <w:kern w:val="0"/>
          <w:sz w:val="21"/>
          <w:szCs w:val="21"/>
          <w:lang w:val="en-US" w:eastAsia="zh-CN"/>
        </w:rPr>
        <w:t>8</w:t>
      </w:r>
      <w:r>
        <w:rPr>
          <w:rFonts w:hint="eastAsia" w:ascii="宋体" w:hAnsi="宋体" w:eastAsia="宋体" w:cs="Times New Roman"/>
          <w:spacing w:val="0"/>
          <w:kern w:val="0"/>
          <w:sz w:val="21"/>
          <w:szCs w:val="21"/>
        </w:rPr>
        <w:t>.</w:t>
      </w:r>
      <w:r>
        <w:rPr>
          <w:rFonts w:hint="eastAsia" w:ascii="宋体" w:hAnsi="宋体" w:cs="Times New Roman"/>
          <w:spacing w:val="0"/>
          <w:kern w:val="0"/>
          <w:sz w:val="21"/>
          <w:szCs w:val="21"/>
          <w:lang w:val="en-US" w:eastAsia="zh-CN"/>
        </w:rPr>
        <w:t>2</w:t>
      </w:r>
      <w:r>
        <w:rPr>
          <w:rFonts w:hint="eastAsia" w:ascii="宋体" w:hAnsi="宋体" w:eastAsia="宋体" w:cs="Times New Roman"/>
          <w:spacing w:val="0"/>
          <w:kern w:val="0"/>
          <w:sz w:val="21"/>
          <w:szCs w:val="21"/>
        </w:rPr>
        <w:t>-4。</w:t>
      </w:r>
    </w:p>
    <w:p w14:paraId="0A8A5B67">
      <w:pPr>
        <w:widowControl/>
        <w:spacing w:before="100" w:after="100" w:line="360" w:lineRule="exact"/>
        <w:ind w:firstLine="0" w:firstLineChars="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表</w:t>
      </w:r>
      <w:r>
        <w:rPr>
          <w:rFonts w:hint="eastAsia" w:ascii="宋体" w:hAnsi="宋体" w:cs="宋体"/>
          <w:b/>
          <w:bCs/>
          <w:kern w:val="0"/>
          <w:sz w:val="24"/>
          <w:szCs w:val="24"/>
          <w:lang w:val="en-US" w:eastAsia="zh-CN"/>
        </w:rPr>
        <w:t>8</w:t>
      </w: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-4  高毒化学品辨识结果</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676"/>
        <w:gridCol w:w="849"/>
        <w:gridCol w:w="1378"/>
        <w:gridCol w:w="1343"/>
        <w:gridCol w:w="1343"/>
        <w:gridCol w:w="1343"/>
      </w:tblGrid>
      <w:tr w14:paraId="2C38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90" w:type="pct"/>
            <w:vAlign w:val="center"/>
          </w:tcPr>
          <w:p w14:paraId="2632050C">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序号</w:t>
            </w:r>
          </w:p>
        </w:tc>
        <w:tc>
          <w:tcPr>
            <w:tcW w:w="1038" w:type="pct"/>
            <w:vAlign w:val="center"/>
          </w:tcPr>
          <w:p w14:paraId="20ACCCB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毒物名称CAS No.</w:t>
            </w:r>
          </w:p>
        </w:tc>
        <w:tc>
          <w:tcPr>
            <w:tcW w:w="552" w:type="pct"/>
            <w:vAlign w:val="center"/>
          </w:tcPr>
          <w:p w14:paraId="266619B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别名</w:t>
            </w:r>
          </w:p>
        </w:tc>
        <w:tc>
          <w:tcPr>
            <w:tcW w:w="863" w:type="pct"/>
            <w:vAlign w:val="center"/>
          </w:tcPr>
          <w:p w14:paraId="1B71765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英文名称</w:t>
            </w:r>
          </w:p>
        </w:tc>
        <w:tc>
          <w:tcPr>
            <w:tcW w:w="717" w:type="pct"/>
            <w:vAlign w:val="center"/>
          </w:tcPr>
          <w:p w14:paraId="601A257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MAC （mg/m</w:t>
            </w:r>
            <w:r>
              <w:rPr>
                <w:color w:val="000000" w:themeColor="text1"/>
                <w:sz w:val="21"/>
                <w:szCs w:val="21"/>
                <w:vertAlign w:val="superscript"/>
                <w14:textFill>
                  <w14:solidFill>
                    <w14:schemeClr w14:val="tx1"/>
                  </w14:solidFill>
                </w14:textFill>
              </w:rPr>
              <w:t>3</w:t>
            </w:r>
            <w:r>
              <w:rPr>
                <w:color w:val="000000" w:themeColor="text1"/>
                <w:sz w:val="21"/>
                <w:szCs w:val="21"/>
                <w14:textFill>
                  <w14:solidFill>
                    <w14:schemeClr w14:val="tx1"/>
                  </w14:solidFill>
                </w14:textFill>
              </w:rPr>
              <w:t>）</w:t>
            </w:r>
          </w:p>
        </w:tc>
        <w:tc>
          <w:tcPr>
            <w:tcW w:w="717" w:type="pct"/>
            <w:vAlign w:val="center"/>
          </w:tcPr>
          <w:p w14:paraId="6DCC763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PC-TWA （mg/m</w:t>
            </w:r>
            <w:r>
              <w:rPr>
                <w:color w:val="000000" w:themeColor="text1"/>
                <w:sz w:val="21"/>
                <w:szCs w:val="21"/>
                <w:vertAlign w:val="superscript"/>
                <w14:textFill>
                  <w14:solidFill>
                    <w14:schemeClr w14:val="tx1"/>
                  </w14:solidFill>
                </w14:textFill>
              </w:rPr>
              <w:t>3</w:t>
            </w:r>
            <w:r>
              <w:rPr>
                <w:color w:val="000000" w:themeColor="text1"/>
                <w:sz w:val="21"/>
                <w:szCs w:val="21"/>
                <w14:textFill>
                  <w14:solidFill>
                    <w14:schemeClr w14:val="tx1"/>
                  </w14:solidFill>
                </w14:textFill>
              </w:rPr>
              <w:t>）</w:t>
            </w:r>
          </w:p>
        </w:tc>
        <w:tc>
          <w:tcPr>
            <w:tcW w:w="718" w:type="pct"/>
            <w:vAlign w:val="center"/>
          </w:tcPr>
          <w:p w14:paraId="592D5FC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PC-STEL （mg/m</w:t>
            </w:r>
            <w:r>
              <w:rPr>
                <w:color w:val="000000" w:themeColor="text1"/>
                <w:sz w:val="21"/>
                <w:szCs w:val="21"/>
                <w:vertAlign w:val="superscript"/>
                <w14:textFill>
                  <w14:solidFill>
                    <w14:schemeClr w14:val="tx1"/>
                  </w14:solidFill>
                </w14:textFill>
              </w:rPr>
              <w:t>3</w:t>
            </w:r>
            <w:r>
              <w:rPr>
                <w:color w:val="000000" w:themeColor="text1"/>
                <w:sz w:val="21"/>
                <w:szCs w:val="21"/>
                <w14:textFill>
                  <w14:solidFill>
                    <w14:schemeClr w14:val="tx1"/>
                  </w14:solidFill>
                </w14:textFill>
              </w:rPr>
              <w:t>）</w:t>
            </w:r>
          </w:p>
        </w:tc>
      </w:tr>
      <w:tr w14:paraId="5254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14:paraId="4160FA3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p>
        </w:tc>
        <w:tc>
          <w:tcPr>
            <w:tcW w:w="1038" w:type="pct"/>
            <w:vAlign w:val="center"/>
          </w:tcPr>
          <w:p w14:paraId="7073595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氨   7664-41-7</w:t>
            </w:r>
          </w:p>
        </w:tc>
        <w:tc>
          <w:tcPr>
            <w:tcW w:w="552" w:type="pct"/>
            <w:vAlign w:val="center"/>
          </w:tcPr>
          <w:p w14:paraId="3ECCA19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阿摩尼亚</w:t>
            </w:r>
          </w:p>
        </w:tc>
        <w:tc>
          <w:tcPr>
            <w:tcW w:w="863" w:type="pct"/>
            <w:vAlign w:val="center"/>
          </w:tcPr>
          <w:p w14:paraId="7FFF1F1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Ammonia</w:t>
            </w:r>
          </w:p>
        </w:tc>
        <w:tc>
          <w:tcPr>
            <w:tcW w:w="717" w:type="pct"/>
            <w:vAlign w:val="center"/>
          </w:tcPr>
          <w:p w14:paraId="5451D2B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717" w:type="pct"/>
            <w:vAlign w:val="center"/>
          </w:tcPr>
          <w:p w14:paraId="380864F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718" w:type="pct"/>
            <w:vAlign w:val="center"/>
          </w:tcPr>
          <w:p w14:paraId="7D9A63C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30</w:t>
            </w:r>
          </w:p>
        </w:tc>
      </w:tr>
      <w:tr w14:paraId="58C5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14:paraId="53199D9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p>
        </w:tc>
        <w:tc>
          <w:tcPr>
            <w:tcW w:w="1038" w:type="pct"/>
            <w:vAlign w:val="center"/>
          </w:tcPr>
          <w:p w14:paraId="67D8876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苯  71-43-2</w:t>
            </w:r>
          </w:p>
        </w:tc>
        <w:tc>
          <w:tcPr>
            <w:tcW w:w="552" w:type="pct"/>
            <w:vAlign w:val="center"/>
          </w:tcPr>
          <w:p w14:paraId="25B0FD8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863" w:type="pct"/>
            <w:vAlign w:val="center"/>
          </w:tcPr>
          <w:p w14:paraId="6E34822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Benzene</w:t>
            </w:r>
          </w:p>
        </w:tc>
        <w:tc>
          <w:tcPr>
            <w:tcW w:w="717" w:type="pct"/>
            <w:vAlign w:val="center"/>
          </w:tcPr>
          <w:p w14:paraId="730C4A1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717" w:type="pct"/>
            <w:vAlign w:val="center"/>
          </w:tcPr>
          <w:p w14:paraId="268FABD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p>
        </w:tc>
        <w:tc>
          <w:tcPr>
            <w:tcW w:w="718" w:type="pct"/>
            <w:vAlign w:val="center"/>
          </w:tcPr>
          <w:p w14:paraId="655F649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p>
        </w:tc>
      </w:tr>
      <w:tr w14:paraId="1174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14:paraId="3DC69CA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p>
        </w:tc>
        <w:tc>
          <w:tcPr>
            <w:tcW w:w="1038" w:type="pct"/>
            <w:vAlign w:val="center"/>
          </w:tcPr>
          <w:p w14:paraId="2358CAD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一氧化碳（非高原）630-08-0</w:t>
            </w:r>
          </w:p>
        </w:tc>
        <w:tc>
          <w:tcPr>
            <w:tcW w:w="552" w:type="pct"/>
            <w:vAlign w:val="center"/>
          </w:tcPr>
          <w:p w14:paraId="7B7283E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863" w:type="pct"/>
            <w:vAlign w:val="center"/>
          </w:tcPr>
          <w:p w14:paraId="2CC274B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Carbon monoxide not in high altitude area</w:t>
            </w:r>
          </w:p>
        </w:tc>
        <w:tc>
          <w:tcPr>
            <w:tcW w:w="717" w:type="pct"/>
            <w:vAlign w:val="center"/>
          </w:tcPr>
          <w:p w14:paraId="4C5B7D7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717" w:type="pct"/>
            <w:vAlign w:val="center"/>
          </w:tcPr>
          <w:p w14:paraId="1F7958F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718" w:type="pct"/>
            <w:vAlign w:val="center"/>
          </w:tcPr>
          <w:p w14:paraId="6B6F650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30</w:t>
            </w:r>
          </w:p>
        </w:tc>
      </w:tr>
      <w:tr w14:paraId="4906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Align w:val="center"/>
          </w:tcPr>
          <w:p w14:paraId="4D4FE90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p>
        </w:tc>
        <w:tc>
          <w:tcPr>
            <w:tcW w:w="1038" w:type="pct"/>
            <w:vAlign w:val="center"/>
          </w:tcPr>
          <w:p w14:paraId="025A328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硫化氢 7783-06-4</w:t>
            </w:r>
          </w:p>
        </w:tc>
        <w:tc>
          <w:tcPr>
            <w:tcW w:w="552" w:type="pct"/>
            <w:vAlign w:val="center"/>
          </w:tcPr>
          <w:p w14:paraId="37EAFDD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w:t>
            </w:r>
          </w:p>
        </w:tc>
        <w:tc>
          <w:tcPr>
            <w:tcW w:w="863" w:type="pct"/>
            <w:vAlign w:val="center"/>
          </w:tcPr>
          <w:p w14:paraId="3D22AF9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Hydrogen sulfide</w:t>
            </w:r>
          </w:p>
        </w:tc>
        <w:tc>
          <w:tcPr>
            <w:tcW w:w="717" w:type="pct"/>
            <w:vAlign w:val="center"/>
          </w:tcPr>
          <w:p w14:paraId="316FE27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p>
        </w:tc>
        <w:tc>
          <w:tcPr>
            <w:tcW w:w="717" w:type="pct"/>
            <w:vAlign w:val="center"/>
          </w:tcPr>
          <w:p w14:paraId="72056DD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c>
          <w:tcPr>
            <w:tcW w:w="718" w:type="pct"/>
            <w:vAlign w:val="center"/>
          </w:tcPr>
          <w:p w14:paraId="7FF0519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w:t>
            </w:r>
          </w:p>
        </w:tc>
      </w:tr>
    </w:tbl>
    <w:p w14:paraId="2449D4FF">
      <w:pPr>
        <w:pStyle w:val="3"/>
        <w:widowControl/>
        <w:ind w:firstLine="0" w:firstLineChars="0"/>
        <w:jc w:val="left"/>
        <w:rPr>
          <w:rFonts w:hint="eastAsia" w:ascii="黑体" w:hAnsi="宋体" w:eastAsia="黑体" w:cstheme="majorBidi"/>
          <w:kern w:val="0"/>
          <w:sz w:val="21"/>
          <w:szCs w:val="21"/>
          <w:lang w:val="en-US" w:eastAsia="zh-CN"/>
        </w:rPr>
      </w:pPr>
      <w:bookmarkStart w:id="107" w:name="_Toc22886"/>
      <w:bookmarkStart w:id="108" w:name="_Toc31330"/>
      <w:bookmarkStart w:id="109" w:name="_Toc12466"/>
      <w:r>
        <w:rPr>
          <w:rFonts w:hint="eastAsia" w:ascii="黑体" w:hAnsi="宋体" w:eastAsia="黑体" w:cstheme="majorBidi"/>
          <w:kern w:val="0"/>
          <w:sz w:val="21"/>
          <w:szCs w:val="21"/>
          <w:lang w:val="en-US" w:eastAsia="zh-CN"/>
        </w:rPr>
        <w:t>8.2.5  易制毒化学品辨识</w:t>
      </w:r>
      <w:bookmarkEnd w:id="107"/>
      <w:bookmarkEnd w:id="108"/>
      <w:bookmarkEnd w:id="109"/>
    </w:p>
    <w:p w14:paraId="75DA8B02">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据国务院令第445号《易制毒化学品管理条例》、公安部令第87号《易制毒化学品购销和运输管理办法》、关于将羟亚胺列入《易制毒化学品管理条例》的公告、关于将NPP、4－ANPP、氯代麻黄碱和溴素、1－苯基－1－丙酮等5种物质列为易制毒化学品管制的公告、关于将3-氧-2-苯基丁酸甲酯、3-氧-2-苯基丁酰胺、2-甲基-3-[3,4-（亚甲二氧基）苯基]缩水甘油酸、2-甲基-3-[3,4-（亚甲二氧基）苯基]缩水甘油酸甲酯、苯乙腈和γ-丁内酯6种物质列入易制毒化学品管理的公告、国务院办公厅关于同意将α-苯乙酰乙酸甲酯等6种物质列入易制毒化学品品种目录的函，青岛石化公司涉及属于易制毒化学品为盐酸、甲苯。</w:t>
      </w:r>
    </w:p>
    <w:p w14:paraId="3EAB6C3E">
      <w:pPr>
        <w:widowControl/>
        <w:spacing w:before="100" w:after="100" w:line="360" w:lineRule="exact"/>
        <w:ind w:firstLine="0" w:firstLineChars="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表</w:t>
      </w:r>
      <w:r>
        <w:rPr>
          <w:rFonts w:hint="eastAsia" w:ascii="宋体" w:hAnsi="宋体" w:cs="宋体"/>
          <w:b/>
          <w:bCs/>
          <w:kern w:val="0"/>
          <w:sz w:val="24"/>
          <w:szCs w:val="24"/>
          <w:lang w:val="en-US" w:eastAsia="zh-CN"/>
        </w:rPr>
        <w:t>8</w:t>
      </w: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2</w:t>
      </w:r>
      <w:r>
        <w:rPr>
          <w:rFonts w:hint="eastAsia" w:ascii="宋体" w:hAnsi="宋体" w:eastAsia="宋体" w:cs="宋体"/>
          <w:b/>
          <w:bCs/>
          <w:kern w:val="0"/>
          <w:sz w:val="24"/>
          <w:szCs w:val="24"/>
        </w:rPr>
        <w:t>-5  易制毒化学品辨识结果</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4579"/>
        <w:gridCol w:w="2774"/>
      </w:tblGrid>
      <w:tr w14:paraId="72DF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77" w:type="pct"/>
            <w:vAlign w:val="center"/>
          </w:tcPr>
          <w:p w14:paraId="6F1FD06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序号</w:t>
            </w:r>
          </w:p>
        </w:tc>
        <w:tc>
          <w:tcPr>
            <w:tcW w:w="2692" w:type="pct"/>
            <w:shd w:val="clear" w:color="auto" w:fill="auto"/>
            <w:vAlign w:val="center"/>
          </w:tcPr>
          <w:p w14:paraId="36E2603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物质名称</w:t>
            </w:r>
          </w:p>
        </w:tc>
        <w:tc>
          <w:tcPr>
            <w:tcW w:w="1631" w:type="pct"/>
            <w:shd w:val="clear" w:color="auto" w:fill="auto"/>
            <w:vAlign w:val="center"/>
          </w:tcPr>
          <w:p w14:paraId="5328B2C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类别</w:t>
            </w:r>
          </w:p>
        </w:tc>
      </w:tr>
      <w:tr w14:paraId="22472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7" w:type="pct"/>
            <w:vAlign w:val="center"/>
          </w:tcPr>
          <w:p w14:paraId="2F0BB0F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1</w:t>
            </w:r>
          </w:p>
        </w:tc>
        <w:tc>
          <w:tcPr>
            <w:tcW w:w="2692" w:type="pct"/>
            <w:shd w:val="clear" w:color="auto" w:fill="auto"/>
            <w:vAlign w:val="center"/>
          </w:tcPr>
          <w:p w14:paraId="28D1E2C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盐酸</w:t>
            </w:r>
          </w:p>
        </w:tc>
        <w:tc>
          <w:tcPr>
            <w:tcW w:w="1631" w:type="pct"/>
            <w:shd w:val="clear" w:color="auto" w:fill="auto"/>
            <w:vAlign w:val="center"/>
          </w:tcPr>
          <w:p w14:paraId="5C83DF7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color w:val="000000" w:themeColor="text1"/>
                <w:kern w:val="0"/>
                <w:sz w:val="21"/>
                <w:szCs w:val="21"/>
                <w14:textFill>
                  <w14:solidFill>
                    <w14:schemeClr w14:val="tx1"/>
                  </w14:solidFill>
                </w14:textFill>
              </w:rPr>
              <w:t>第三类</w:t>
            </w:r>
          </w:p>
        </w:tc>
      </w:tr>
      <w:tr w14:paraId="24A0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7" w:type="pct"/>
            <w:vAlign w:val="center"/>
          </w:tcPr>
          <w:p w14:paraId="1C1084C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w:t>
            </w:r>
          </w:p>
        </w:tc>
        <w:tc>
          <w:tcPr>
            <w:tcW w:w="2692" w:type="pct"/>
            <w:shd w:val="clear" w:color="auto" w:fill="auto"/>
            <w:vAlign w:val="center"/>
          </w:tcPr>
          <w:p w14:paraId="5ACCA26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甲苯</w:t>
            </w:r>
          </w:p>
        </w:tc>
        <w:tc>
          <w:tcPr>
            <w:tcW w:w="1631" w:type="pct"/>
            <w:shd w:val="clear" w:color="auto" w:fill="auto"/>
            <w:vAlign w:val="center"/>
          </w:tcPr>
          <w:p w14:paraId="73D2452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baseline"/>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第三类</w:t>
            </w:r>
          </w:p>
        </w:tc>
      </w:tr>
    </w:tbl>
    <w:p w14:paraId="6F513C11">
      <w:pPr>
        <w:pStyle w:val="3"/>
        <w:keepNext/>
        <w:keepLines/>
        <w:pageBreakBefore w:val="0"/>
        <w:widowControl/>
        <w:kinsoku/>
        <w:wordWrap/>
        <w:overflowPunct/>
        <w:topLinePunct w:val="0"/>
        <w:autoSpaceDE/>
        <w:autoSpaceDN/>
        <w:bidi w:val="0"/>
        <w:adjustRightInd/>
        <w:snapToGrid/>
        <w:spacing w:line="416" w:lineRule="auto"/>
        <w:ind w:firstLine="0" w:firstLineChars="0"/>
        <w:jc w:val="left"/>
        <w:textAlignment w:val="auto"/>
        <w:rPr>
          <w:rFonts w:hint="eastAsia" w:ascii="黑体" w:hAnsi="宋体" w:eastAsia="黑体" w:cstheme="majorBidi"/>
          <w:kern w:val="0"/>
          <w:sz w:val="21"/>
          <w:szCs w:val="21"/>
          <w:lang w:val="en-US" w:eastAsia="zh-CN"/>
        </w:rPr>
      </w:pPr>
      <w:bookmarkStart w:id="110" w:name="_Toc10885"/>
      <w:bookmarkStart w:id="111" w:name="_Toc15520"/>
      <w:bookmarkStart w:id="112" w:name="_Toc31546"/>
      <w:r>
        <w:rPr>
          <w:rFonts w:hint="eastAsia" w:ascii="黑体" w:hAnsi="宋体" w:eastAsia="黑体" w:cstheme="majorBidi"/>
          <w:kern w:val="0"/>
          <w:sz w:val="21"/>
          <w:szCs w:val="21"/>
          <w:lang w:val="en-US" w:eastAsia="zh-CN"/>
        </w:rPr>
        <w:t>8.2.6易制爆危险化学品辨识</w:t>
      </w:r>
      <w:bookmarkEnd w:id="110"/>
      <w:bookmarkEnd w:id="111"/>
      <w:bookmarkEnd w:id="112"/>
    </w:p>
    <w:p w14:paraId="0014C90C">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依据《易制爆危险化学品名录》（2017年版），青岛石化公司易制爆危险化学品为硫磺。</w:t>
      </w:r>
    </w:p>
    <w:p w14:paraId="6E2E9251">
      <w:pPr>
        <w:pStyle w:val="3"/>
        <w:keepNext/>
        <w:keepLines/>
        <w:pageBreakBefore w:val="0"/>
        <w:widowControl/>
        <w:kinsoku/>
        <w:wordWrap/>
        <w:overflowPunct/>
        <w:topLinePunct w:val="0"/>
        <w:autoSpaceDE/>
        <w:autoSpaceDN/>
        <w:bidi w:val="0"/>
        <w:adjustRightInd/>
        <w:snapToGrid/>
        <w:spacing w:line="416" w:lineRule="auto"/>
        <w:ind w:firstLine="0" w:firstLineChars="0"/>
        <w:jc w:val="left"/>
        <w:textAlignment w:val="auto"/>
        <w:rPr>
          <w:rFonts w:hint="eastAsia" w:ascii="黑体" w:hAnsi="宋体" w:eastAsia="黑体" w:cstheme="majorBidi"/>
          <w:kern w:val="0"/>
          <w:sz w:val="21"/>
          <w:szCs w:val="21"/>
          <w:lang w:val="en-US" w:eastAsia="zh-CN"/>
        </w:rPr>
      </w:pPr>
      <w:bookmarkStart w:id="113" w:name="_Toc4042"/>
      <w:bookmarkStart w:id="114" w:name="_Toc20179"/>
      <w:bookmarkStart w:id="115" w:name="_Toc21439"/>
      <w:r>
        <w:rPr>
          <w:rFonts w:hint="eastAsia" w:ascii="黑体" w:hAnsi="宋体" w:eastAsia="黑体" w:cstheme="majorBidi"/>
          <w:kern w:val="0"/>
          <w:sz w:val="21"/>
          <w:szCs w:val="21"/>
          <w:lang w:val="en-US" w:eastAsia="zh-CN"/>
        </w:rPr>
        <w:t>8.2.7  监控化学品辨识</w:t>
      </w:r>
      <w:bookmarkEnd w:id="113"/>
      <w:bookmarkEnd w:id="114"/>
      <w:bookmarkEnd w:id="115"/>
    </w:p>
    <w:p w14:paraId="270D595E">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根据《中华人民共和国监控化学品管理条例》（2011年1月8日修正版）、《第四类监控化学品名录（2019版）》，对本项目存在的危险物料进行监控化学品辨识，甲基二乙醇胺（MDEA）、甲醇、MTBE、苯、甲苯属于监控化学品。</w:t>
      </w:r>
    </w:p>
    <w:p w14:paraId="47AD7AF0">
      <w:pPr>
        <w:pStyle w:val="3"/>
        <w:widowControl/>
        <w:ind w:firstLine="0" w:firstLineChars="0"/>
        <w:jc w:val="left"/>
        <w:rPr>
          <w:rFonts w:hint="eastAsia" w:ascii="黑体" w:hAnsi="宋体" w:eastAsia="黑体" w:cstheme="majorBidi"/>
          <w:kern w:val="0"/>
          <w:sz w:val="21"/>
          <w:szCs w:val="21"/>
          <w:lang w:val="en-US" w:eastAsia="zh-CN"/>
        </w:rPr>
      </w:pPr>
      <w:bookmarkStart w:id="116" w:name="_Toc12481"/>
      <w:bookmarkStart w:id="117" w:name="_Toc16903"/>
      <w:bookmarkStart w:id="118" w:name="_Toc25068"/>
      <w:r>
        <w:rPr>
          <w:rFonts w:hint="eastAsia" w:ascii="黑体" w:hAnsi="宋体" w:eastAsia="黑体" w:cstheme="majorBidi"/>
          <w:kern w:val="0"/>
          <w:sz w:val="21"/>
          <w:szCs w:val="21"/>
          <w:lang w:val="en-US" w:eastAsia="zh-CN"/>
        </w:rPr>
        <w:t>8.2.8  特别管控危险化学品辨识</w:t>
      </w:r>
      <w:bookmarkEnd w:id="116"/>
      <w:bookmarkEnd w:id="117"/>
      <w:bookmarkEnd w:id="118"/>
    </w:p>
    <w:p w14:paraId="3A32E174">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根据《特别管控危险化学品目录（第一版）》，本项目涉及的特别管控的化学品有氨、液化石油气、汽油、甲醇。</w:t>
      </w:r>
    </w:p>
    <w:p w14:paraId="39821A20">
      <w:pPr>
        <w:pStyle w:val="3"/>
        <w:widowControl/>
        <w:ind w:firstLine="0" w:firstLineChars="0"/>
        <w:jc w:val="left"/>
        <w:rPr>
          <w:rFonts w:hint="eastAsia" w:ascii="黑体" w:hAnsi="宋体" w:eastAsia="黑体" w:cstheme="majorBidi"/>
          <w:kern w:val="0"/>
          <w:sz w:val="21"/>
          <w:szCs w:val="21"/>
          <w:lang w:val="en-US" w:eastAsia="zh-CN"/>
        </w:rPr>
      </w:pPr>
      <w:bookmarkStart w:id="119" w:name="_Toc1558"/>
      <w:bookmarkStart w:id="120" w:name="_Toc18372"/>
      <w:bookmarkStart w:id="121" w:name="_Toc15095"/>
      <w:r>
        <w:rPr>
          <w:rFonts w:hint="eastAsia" w:ascii="黑体" w:hAnsi="宋体" w:eastAsia="黑体" w:cstheme="majorBidi"/>
          <w:kern w:val="0"/>
          <w:sz w:val="21"/>
          <w:szCs w:val="21"/>
          <w:lang w:val="en-US" w:eastAsia="zh-CN"/>
        </w:rPr>
        <w:t>8.2.9  山东省禁止危险化学品辨识</w:t>
      </w:r>
      <w:bookmarkEnd w:id="119"/>
      <w:bookmarkEnd w:id="120"/>
      <w:bookmarkEnd w:id="121"/>
    </w:p>
    <w:p w14:paraId="672DF6E4">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根据《山东省禁止危险化学品目录（第一批）》（鲁应急发〔2019〕37号），关于印发《山东省禁止危险化学品目录（第二批）》的通知 (鲁应急字〔2022〕61号)，本项目不涉及山东省禁止危险化学品。</w:t>
      </w:r>
    </w:p>
    <w:p w14:paraId="73FE85A7">
      <w:pPr>
        <w:pStyle w:val="3"/>
        <w:widowControl/>
        <w:ind w:firstLine="0" w:firstLineChars="0"/>
        <w:jc w:val="left"/>
        <w:rPr>
          <w:rFonts w:hint="eastAsia" w:ascii="黑体" w:hAnsi="宋体" w:eastAsia="黑体" w:cstheme="majorBidi"/>
          <w:kern w:val="0"/>
          <w:sz w:val="21"/>
          <w:szCs w:val="21"/>
          <w:lang w:val="en-US" w:eastAsia="zh-CN"/>
        </w:rPr>
      </w:pPr>
      <w:bookmarkStart w:id="122" w:name="_Toc8410"/>
      <w:bookmarkStart w:id="123" w:name="_Toc27278"/>
      <w:bookmarkStart w:id="124" w:name="_Toc22891"/>
      <w:r>
        <w:rPr>
          <w:rFonts w:hint="eastAsia" w:ascii="黑体" w:hAnsi="宋体" w:eastAsia="黑体" w:cstheme="majorBidi"/>
          <w:kern w:val="0"/>
          <w:sz w:val="21"/>
          <w:szCs w:val="21"/>
          <w:lang w:val="en-US" w:eastAsia="zh-CN"/>
        </w:rPr>
        <w:t>8.2.10  忌水危险化学品辨识</w:t>
      </w:r>
      <w:bookmarkEnd w:id="122"/>
      <w:bookmarkEnd w:id="123"/>
      <w:bookmarkEnd w:id="124"/>
    </w:p>
    <w:p w14:paraId="02BFC9C5">
      <w:pPr>
        <w:widowControl/>
        <w:spacing w:before="0" w:after="0" w:line="360" w:lineRule="exact"/>
        <w:ind w:left="0" w:firstLine="420" w:firstLineChars="200"/>
        <w:jc w:val="left"/>
        <w:rPr>
          <w:rFonts w:hint="eastAsia" w:ascii="宋体" w:hAnsi="宋体" w:eastAsia="宋体" w:cs="Times New Roman"/>
          <w:spacing w:val="0"/>
          <w:kern w:val="0"/>
          <w:sz w:val="21"/>
          <w:szCs w:val="21"/>
        </w:rPr>
      </w:pPr>
      <w:r>
        <w:rPr>
          <w:rFonts w:hint="eastAsia" w:ascii="宋体" w:hAnsi="宋体" w:eastAsia="宋体" w:cs="Times New Roman"/>
          <w:spacing w:val="0"/>
          <w:kern w:val="0"/>
          <w:sz w:val="21"/>
          <w:szCs w:val="21"/>
        </w:rPr>
        <w:t>根据《忌水危险化学品名单（试行）》，本项目涉及的忌水危险化学品有三乙基铝。</w:t>
      </w:r>
    </w:p>
    <w:p w14:paraId="53A2B87A">
      <w:pPr>
        <w:spacing w:before="101" w:line="223" w:lineRule="auto"/>
        <w:ind w:left="45"/>
        <w:jc w:val="center"/>
        <w:rPr>
          <w:rFonts w:hint="default" w:ascii="黑体" w:hAnsi="黑体" w:eastAsia="黑体" w:cs="黑体"/>
          <w:spacing w:val="7"/>
          <w:sz w:val="31"/>
          <w:szCs w:val="31"/>
          <w:lang w:val="en-US" w:eastAsia="zh-CN"/>
        </w:rPr>
      </w:pPr>
    </w:p>
    <w:p w14:paraId="2A63E196">
      <w:pPr>
        <w:spacing w:before="101" w:line="223" w:lineRule="auto"/>
        <w:ind w:left="45"/>
        <w:jc w:val="center"/>
        <w:rPr>
          <w:rFonts w:hint="default" w:ascii="黑体" w:hAnsi="黑体" w:eastAsia="黑体" w:cs="黑体"/>
          <w:spacing w:val="7"/>
          <w:sz w:val="31"/>
          <w:szCs w:val="31"/>
          <w:lang w:val="en-US" w:eastAsia="zh-CN"/>
        </w:rPr>
      </w:pPr>
    </w:p>
    <w:p w14:paraId="7C04A79E">
      <w:pPr>
        <w:spacing w:before="101" w:line="223" w:lineRule="auto"/>
        <w:ind w:left="45"/>
        <w:jc w:val="center"/>
        <w:rPr>
          <w:rFonts w:hint="default" w:ascii="黑体" w:hAnsi="黑体" w:eastAsia="黑体" w:cs="黑体"/>
          <w:spacing w:val="7"/>
          <w:sz w:val="31"/>
          <w:szCs w:val="31"/>
          <w:lang w:val="en-US" w:eastAsia="zh-CN"/>
        </w:rPr>
      </w:pPr>
    </w:p>
    <w:p w14:paraId="1B4B30ED">
      <w:pPr>
        <w:spacing w:before="101" w:line="223" w:lineRule="auto"/>
        <w:ind w:left="45"/>
        <w:jc w:val="center"/>
        <w:rPr>
          <w:rFonts w:hint="default" w:ascii="黑体" w:hAnsi="黑体" w:eastAsia="黑体" w:cs="黑体"/>
          <w:spacing w:val="7"/>
          <w:sz w:val="31"/>
          <w:szCs w:val="31"/>
          <w:lang w:val="en-US" w:eastAsia="zh-CN"/>
        </w:rPr>
      </w:pPr>
    </w:p>
    <w:p w14:paraId="61CB0254">
      <w:pPr>
        <w:spacing w:before="101" w:line="223" w:lineRule="auto"/>
        <w:ind w:left="45"/>
        <w:jc w:val="center"/>
        <w:rPr>
          <w:rFonts w:hint="default" w:ascii="黑体" w:hAnsi="黑体" w:eastAsia="黑体" w:cs="黑体"/>
          <w:spacing w:val="7"/>
          <w:sz w:val="31"/>
          <w:szCs w:val="31"/>
          <w:lang w:val="en-US" w:eastAsia="zh-CN"/>
        </w:rPr>
      </w:pPr>
    </w:p>
    <w:p w14:paraId="5AD11D86">
      <w:pPr>
        <w:spacing w:before="101" w:line="223" w:lineRule="auto"/>
        <w:ind w:left="45"/>
        <w:jc w:val="center"/>
        <w:rPr>
          <w:rFonts w:hint="default" w:ascii="黑体" w:hAnsi="黑体" w:eastAsia="黑体" w:cs="黑体"/>
          <w:spacing w:val="7"/>
          <w:sz w:val="31"/>
          <w:szCs w:val="31"/>
          <w:lang w:val="en-US" w:eastAsia="zh-CN"/>
        </w:rPr>
      </w:pPr>
    </w:p>
    <w:p w14:paraId="0C385C3D">
      <w:pPr>
        <w:spacing w:before="101" w:line="223" w:lineRule="auto"/>
        <w:ind w:left="45"/>
        <w:jc w:val="center"/>
        <w:rPr>
          <w:rFonts w:hint="default" w:ascii="黑体" w:hAnsi="黑体" w:eastAsia="黑体" w:cs="黑体"/>
          <w:spacing w:val="7"/>
          <w:sz w:val="31"/>
          <w:szCs w:val="31"/>
          <w:lang w:val="en-US" w:eastAsia="zh-CN"/>
        </w:rPr>
      </w:pPr>
    </w:p>
    <w:p w14:paraId="771BD414">
      <w:pPr>
        <w:spacing w:before="101" w:line="223" w:lineRule="auto"/>
        <w:ind w:left="45"/>
        <w:jc w:val="center"/>
        <w:rPr>
          <w:rFonts w:hint="default" w:ascii="黑体" w:hAnsi="黑体" w:eastAsia="黑体" w:cs="黑体"/>
          <w:spacing w:val="7"/>
          <w:sz w:val="31"/>
          <w:szCs w:val="31"/>
          <w:lang w:val="en-US" w:eastAsia="zh-CN"/>
        </w:rPr>
      </w:pPr>
    </w:p>
    <w:p w14:paraId="17194D51">
      <w:pPr>
        <w:spacing w:before="101" w:line="223" w:lineRule="auto"/>
        <w:ind w:left="45"/>
        <w:jc w:val="center"/>
        <w:rPr>
          <w:rFonts w:hint="default" w:ascii="黑体" w:hAnsi="黑体" w:eastAsia="黑体" w:cs="黑体"/>
          <w:spacing w:val="7"/>
          <w:sz w:val="31"/>
          <w:szCs w:val="31"/>
          <w:lang w:val="en-US" w:eastAsia="zh-CN"/>
        </w:rPr>
      </w:pPr>
    </w:p>
    <w:p w14:paraId="31509353">
      <w:pPr>
        <w:spacing w:before="101" w:line="223" w:lineRule="auto"/>
        <w:ind w:left="45"/>
        <w:jc w:val="center"/>
        <w:rPr>
          <w:rFonts w:hint="default" w:ascii="黑体" w:hAnsi="黑体" w:eastAsia="黑体" w:cs="黑体"/>
          <w:spacing w:val="7"/>
          <w:sz w:val="31"/>
          <w:szCs w:val="31"/>
          <w:lang w:val="en-US" w:eastAsia="zh-CN"/>
        </w:rPr>
      </w:pPr>
    </w:p>
    <w:p w14:paraId="31C86C07">
      <w:pPr>
        <w:spacing w:before="101" w:line="223" w:lineRule="auto"/>
        <w:ind w:left="45"/>
        <w:jc w:val="center"/>
        <w:rPr>
          <w:rFonts w:hint="default" w:ascii="黑体" w:hAnsi="黑体" w:eastAsia="黑体" w:cs="黑体"/>
          <w:spacing w:val="7"/>
          <w:sz w:val="31"/>
          <w:szCs w:val="31"/>
          <w:lang w:val="en-US" w:eastAsia="zh-CN"/>
        </w:rPr>
      </w:pPr>
    </w:p>
    <w:p w14:paraId="122DB6F0">
      <w:pPr>
        <w:spacing w:before="101" w:line="223" w:lineRule="auto"/>
        <w:ind w:left="45"/>
        <w:jc w:val="center"/>
        <w:rPr>
          <w:rFonts w:hint="default" w:ascii="黑体" w:hAnsi="黑体" w:eastAsia="黑体" w:cs="黑体"/>
          <w:spacing w:val="7"/>
          <w:sz w:val="31"/>
          <w:szCs w:val="31"/>
          <w:lang w:val="en-US" w:eastAsia="zh-CN"/>
        </w:rPr>
      </w:pPr>
    </w:p>
    <w:p w14:paraId="3C059B9E">
      <w:pPr>
        <w:spacing w:before="101" w:line="223" w:lineRule="auto"/>
        <w:ind w:left="45"/>
        <w:jc w:val="center"/>
        <w:rPr>
          <w:rFonts w:hint="default" w:ascii="黑体" w:hAnsi="黑体" w:eastAsia="黑体" w:cs="黑体"/>
          <w:spacing w:val="7"/>
          <w:sz w:val="31"/>
          <w:szCs w:val="31"/>
          <w:lang w:val="en-US" w:eastAsia="zh-CN"/>
        </w:rPr>
      </w:pPr>
    </w:p>
    <w:p w14:paraId="732DB5E6">
      <w:pPr>
        <w:spacing w:before="101" w:line="223" w:lineRule="auto"/>
        <w:ind w:left="45"/>
        <w:jc w:val="center"/>
        <w:rPr>
          <w:rFonts w:hint="default" w:ascii="黑体" w:hAnsi="黑体" w:eastAsia="黑体" w:cs="黑体"/>
          <w:spacing w:val="7"/>
          <w:sz w:val="31"/>
          <w:szCs w:val="31"/>
          <w:lang w:val="en-US" w:eastAsia="zh-CN"/>
        </w:rPr>
      </w:pPr>
    </w:p>
    <w:p w14:paraId="41E18721">
      <w:pPr>
        <w:spacing w:before="101" w:line="223" w:lineRule="auto"/>
        <w:ind w:left="45"/>
        <w:jc w:val="center"/>
        <w:rPr>
          <w:rFonts w:hint="default" w:ascii="黑体" w:hAnsi="黑体" w:eastAsia="黑体" w:cs="黑体"/>
          <w:spacing w:val="7"/>
          <w:sz w:val="31"/>
          <w:szCs w:val="31"/>
          <w:lang w:val="en-US" w:eastAsia="zh-CN"/>
        </w:rPr>
      </w:pPr>
    </w:p>
    <w:p w14:paraId="0EB26D8F">
      <w:pPr>
        <w:spacing w:before="91" w:line="218" w:lineRule="auto"/>
        <w:ind w:left="51"/>
        <w:rPr>
          <w:rFonts w:hint="eastAsia" w:ascii="华文中宋" w:hAnsi="华文中宋" w:eastAsia="华文中宋" w:cs="华文中宋"/>
          <w:sz w:val="24"/>
          <w:szCs w:val="24"/>
          <w:lang w:val="en-US" w:eastAsia="zh-CN"/>
        </w:rPr>
      </w:pPr>
      <w:r>
        <w:rPr>
          <w:rFonts w:hint="eastAsia" w:ascii="华文中宋" w:hAnsi="华文中宋" w:eastAsia="华文中宋" w:cs="华文中宋"/>
          <w:spacing w:val="-15"/>
          <w:sz w:val="24"/>
          <w:szCs w:val="24"/>
        </w:rPr>
        <w:t>附件</w:t>
      </w:r>
      <w:r>
        <w:rPr>
          <w:rFonts w:hint="eastAsia" w:ascii="华文中宋" w:hAnsi="华文中宋" w:eastAsia="华文中宋" w:cs="华文中宋"/>
          <w:spacing w:val="-15"/>
          <w:sz w:val="24"/>
          <w:szCs w:val="24"/>
          <w:lang w:val="en-US" w:eastAsia="zh-CN"/>
        </w:rPr>
        <w:t>3</w:t>
      </w:r>
    </w:p>
    <w:p w14:paraId="2ED3F96C">
      <w:pPr>
        <w:spacing w:before="101" w:line="223" w:lineRule="auto"/>
        <w:ind w:left="45"/>
        <w:jc w:val="center"/>
        <w:rPr>
          <w:rFonts w:hint="eastAsia" w:ascii="华文中宋" w:hAnsi="华文中宋" w:eastAsia="华文中宋" w:cs="华文中宋"/>
          <w:spacing w:val="7"/>
          <w:sz w:val="32"/>
          <w:szCs w:val="32"/>
          <w:lang w:val="en-US" w:eastAsia="zh-CN"/>
        </w:rPr>
      </w:pPr>
      <w:r>
        <w:rPr>
          <w:rFonts w:hint="eastAsia" w:ascii="华文中宋" w:hAnsi="华文中宋" w:eastAsia="华文中宋" w:cs="华文中宋"/>
          <w:spacing w:val="7"/>
          <w:sz w:val="32"/>
          <w:szCs w:val="32"/>
          <w:lang w:val="en-US" w:eastAsia="zh-CN"/>
        </w:rPr>
        <w:t>可能受事故影响的周边场所、人员情况</w:t>
      </w:r>
    </w:p>
    <w:p w14:paraId="15CB48CA">
      <w:pPr>
        <w:pStyle w:val="3"/>
        <w:widowControl/>
        <w:spacing w:before="0" w:after="0" w:line="360" w:lineRule="exact"/>
        <w:ind w:firstLine="0" w:firstLineChars="0"/>
        <w:jc w:val="left"/>
        <w:rPr>
          <w:rFonts w:hint="eastAsia" w:ascii="黑体" w:hAnsi="宋体" w:eastAsia="黑体" w:cstheme="majorBidi"/>
          <w:b/>
          <w:bCs/>
          <w:kern w:val="0"/>
          <w:sz w:val="21"/>
          <w:szCs w:val="21"/>
        </w:rPr>
      </w:pPr>
      <w:bookmarkStart w:id="125" w:name="_Toc30201"/>
      <w:bookmarkStart w:id="126" w:name="_Toc6993"/>
      <w:bookmarkStart w:id="127" w:name="_Toc14608"/>
      <w:r>
        <w:rPr>
          <w:rFonts w:hint="eastAsia" w:ascii="黑体" w:hAnsi="宋体" w:eastAsia="黑体" w:cstheme="majorBidi"/>
          <w:kern w:val="0"/>
          <w:sz w:val="21"/>
          <w:szCs w:val="21"/>
          <w:lang w:val="en-US" w:eastAsia="zh-CN"/>
        </w:rPr>
        <w:t>8.3.1厂区周边情况</w:t>
      </w:r>
      <w:bookmarkEnd w:id="125"/>
      <w:bookmarkEnd w:id="126"/>
      <w:bookmarkEnd w:id="127"/>
    </w:p>
    <w:p w14:paraId="748E314C">
      <w:pPr>
        <w:widowControl/>
        <w:spacing w:before="0" w:after="0" w:line="360" w:lineRule="exact"/>
        <w:ind w:firstLine="420" w:firstLineChars="200"/>
        <w:jc w:val="left"/>
        <w:rPr>
          <w:rFonts w:hint="eastAsia" w:ascii="宋体" w:hAnsi="宋体" w:eastAsia="宋体" w:cs="Times New Roman"/>
          <w:kern w:val="0"/>
          <w:sz w:val="21"/>
          <w:szCs w:val="21"/>
          <w:lang w:val="en-US" w:eastAsia="zh-CN"/>
        </w:rPr>
      </w:pPr>
      <w:r>
        <w:rPr>
          <w:rFonts w:hint="eastAsia" w:ascii="宋体" w:hAnsi="宋体" w:eastAsia="宋体" w:cs="Times New Roman"/>
          <w:kern w:val="0"/>
          <w:sz w:val="21"/>
          <w:szCs w:val="21"/>
          <w:lang w:val="en-US" w:eastAsia="zh-CN"/>
        </w:rPr>
        <w:t>青岛石化公司厂址北侧为滨海路，西侧围墙外为环厂路，隔环厂路及绿化带为环湾路，南侧围墙外为环厂路，环厂路外是是娄山河入海口，东侧为恒基水泥厂。</w:t>
      </w:r>
    </w:p>
    <w:p w14:paraId="738AD584">
      <w:pPr>
        <w:widowControl/>
        <w:spacing w:before="0" w:after="0" w:line="360" w:lineRule="exact"/>
        <w:ind w:firstLine="420" w:firstLineChars="200"/>
        <w:jc w:val="left"/>
        <w:rPr>
          <w:rFonts w:hint="eastAsia" w:ascii="宋体" w:hAnsi="宋体" w:eastAsia="宋体" w:cs="Times New Roman"/>
          <w:b w:val="0"/>
          <w:bCs w:val="0"/>
          <w:kern w:val="0"/>
          <w:sz w:val="21"/>
          <w:szCs w:val="21"/>
        </w:rPr>
      </w:pPr>
      <w:r>
        <w:rPr>
          <w:rFonts w:hint="eastAsia" w:ascii="宋体" w:hAnsi="宋体" w:eastAsia="宋体" w:cs="Times New Roman"/>
          <w:kern w:val="0"/>
          <w:sz w:val="21"/>
          <w:szCs w:val="21"/>
          <w:lang w:val="en-US" w:eastAsia="zh-CN"/>
        </w:rPr>
        <w:t>厂区与周边企业及设施防火间距符合《石油化工企业设计防火标准》（GB50160-2008，2018年版）的要求，详见下表</w:t>
      </w:r>
      <w:r>
        <w:rPr>
          <w:rFonts w:hint="eastAsia" w:ascii="宋体" w:hAnsi="宋体" w:cs="Times New Roman"/>
          <w:spacing w:val="0"/>
          <w:kern w:val="0"/>
          <w:sz w:val="21"/>
          <w:szCs w:val="21"/>
          <w:lang w:val="en-US" w:eastAsia="zh-CN"/>
        </w:rPr>
        <w:t>8</w:t>
      </w:r>
      <w:r>
        <w:rPr>
          <w:rFonts w:hint="eastAsia" w:ascii="宋体" w:hAnsi="宋体" w:eastAsia="宋体" w:cs="Times New Roman"/>
          <w:spacing w:val="0"/>
          <w:kern w:val="0"/>
          <w:sz w:val="21"/>
          <w:szCs w:val="21"/>
        </w:rPr>
        <w:t>.</w:t>
      </w:r>
      <w:r>
        <w:rPr>
          <w:rFonts w:hint="eastAsia" w:ascii="宋体" w:hAnsi="宋体" w:cs="Times New Roman"/>
          <w:spacing w:val="0"/>
          <w:kern w:val="0"/>
          <w:sz w:val="21"/>
          <w:szCs w:val="21"/>
          <w:lang w:val="en-US" w:eastAsia="zh-CN"/>
        </w:rPr>
        <w:t>3</w:t>
      </w:r>
      <w:r>
        <w:rPr>
          <w:rFonts w:hint="eastAsia" w:ascii="宋体" w:hAnsi="宋体" w:eastAsia="宋体" w:cs="Times New Roman"/>
          <w:spacing w:val="0"/>
          <w:kern w:val="0"/>
          <w:sz w:val="21"/>
          <w:szCs w:val="21"/>
        </w:rPr>
        <w:t>-1。</w:t>
      </w:r>
    </w:p>
    <w:p w14:paraId="1965445F">
      <w:pPr>
        <w:widowControl/>
        <w:spacing w:before="100" w:after="100" w:line="360" w:lineRule="exact"/>
        <w:ind w:firstLine="0" w:firstLineChars="0"/>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表</w:t>
      </w:r>
      <w:r>
        <w:rPr>
          <w:rFonts w:hint="eastAsia" w:ascii="宋体" w:hAnsi="宋体" w:cs="宋体"/>
          <w:b/>
          <w:bCs/>
          <w:kern w:val="0"/>
          <w:sz w:val="24"/>
          <w:szCs w:val="24"/>
          <w:lang w:val="en-US" w:eastAsia="zh-CN"/>
        </w:rPr>
        <w:t>8</w:t>
      </w: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3</w:t>
      </w:r>
      <w:r>
        <w:rPr>
          <w:rFonts w:hint="eastAsia" w:ascii="宋体" w:hAnsi="宋体" w:eastAsia="宋体" w:cs="宋体"/>
          <w:b/>
          <w:bCs/>
          <w:kern w:val="0"/>
          <w:sz w:val="24"/>
          <w:szCs w:val="24"/>
        </w:rPr>
        <w:t>-1  厂区周边距离符合性情况</w:t>
      </w:r>
    </w:p>
    <w:tbl>
      <w:tblPr>
        <w:tblStyle w:val="1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426"/>
        <w:gridCol w:w="1017"/>
        <w:gridCol w:w="951"/>
        <w:gridCol w:w="1021"/>
        <w:gridCol w:w="2012"/>
        <w:gridCol w:w="618"/>
        <w:gridCol w:w="1869"/>
      </w:tblGrid>
      <w:tr w14:paraId="3579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blHeader/>
          <w:jc w:val="center"/>
        </w:trPr>
        <w:tc>
          <w:tcPr>
            <w:tcW w:w="379" w:type="pct"/>
            <w:tcBorders>
              <w:top w:val="single" w:color="auto" w:sz="4" w:space="0"/>
              <w:left w:val="single" w:color="auto" w:sz="4" w:space="0"/>
              <w:bottom w:val="single" w:color="auto" w:sz="4" w:space="0"/>
              <w:right w:val="single" w:color="auto" w:sz="4" w:space="0"/>
            </w:tcBorders>
            <w:vAlign w:val="center"/>
          </w:tcPr>
          <w:p w14:paraId="28EE8B1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项目名称</w:t>
            </w:r>
          </w:p>
        </w:tc>
        <w:tc>
          <w:tcPr>
            <w:tcW w:w="250" w:type="pct"/>
            <w:tcBorders>
              <w:top w:val="single" w:color="auto" w:sz="4" w:space="0"/>
              <w:left w:val="single" w:color="auto" w:sz="4" w:space="0"/>
              <w:bottom w:val="single" w:color="auto" w:sz="4" w:space="0"/>
              <w:right w:val="single" w:color="auto" w:sz="4" w:space="0"/>
            </w:tcBorders>
            <w:vAlign w:val="center"/>
          </w:tcPr>
          <w:p w14:paraId="507DB5E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方位</w:t>
            </w:r>
          </w:p>
        </w:tc>
        <w:tc>
          <w:tcPr>
            <w:tcW w:w="630" w:type="pct"/>
            <w:tcBorders>
              <w:top w:val="single" w:color="auto" w:sz="4" w:space="0"/>
              <w:left w:val="single" w:color="auto" w:sz="4" w:space="0"/>
              <w:bottom w:val="single" w:color="auto" w:sz="4" w:space="0"/>
              <w:right w:val="single" w:color="auto" w:sz="4" w:space="0"/>
            </w:tcBorders>
            <w:vAlign w:val="center"/>
          </w:tcPr>
          <w:p w14:paraId="1EEB9BF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周边情况</w:t>
            </w:r>
          </w:p>
        </w:tc>
        <w:tc>
          <w:tcPr>
            <w:tcW w:w="552" w:type="pct"/>
            <w:tcBorders>
              <w:top w:val="single" w:color="auto" w:sz="4" w:space="0"/>
              <w:left w:val="single" w:color="auto" w:sz="4" w:space="0"/>
              <w:bottom w:val="single" w:color="auto" w:sz="4" w:space="0"/>
              <w:right w:val="single" w:color="auto" w:sz="4" w:space="0"/>
            </w:tcBorders>
            <w:vAlign w:val="center"/>
          </w:tcPr>
          <w:p w14:paraId="67227EB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实际间距/m</w:t>
            </w:r>
          </w:p>
        </w:tc>
        <w:tc>
          <w:tcPr>
            <w:tcW w:w="632" w:type="pct"/>
            <w:tcBorders>
              <w:top w:val="single" w:color="auto" w:sz="4" w:space="0"/>
              <w:left w:val="single" w:color="auto" w:sz="4" w:space="0"/>
              <w:bottom w:val="single" w:color="auto" w:sz="4" w:space="0"/>
              <w:right w:val="single" w:color="auto" w:sz="4" w:space="0"/>
            </w:tcBorders>
            <w:vAlign w:val="center"/>
          </w:tcPr>
          <w:p w14:paraId="6F6CB1F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标准要求间距/m</w:t>
            </w:r>
          </w:p>
        </w:tc>
        <w:tc>
          <w:tcPr>
            <w:tcW w:w="1028" w:type="pct"/>
            <w:tcBorders>
              <w:top w:val="single" w:color="auto" w:sz="4" w:space="0"/>
              <w:left w:val="single" w:color="auto" w:sz="4" w:space="0"/>
              <w:bottom w:val="single" w:color="auto" w:sz="4" w:space="0"/>
              <w:right w:val="single" w:color="auto" w:sz="4" w:space="0"/>
            </w:tcBorders>
            <w:vAlign w:val="center"/>
          </w:tcPr>
          <w:p w14:paraId="33F934F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依据</w:t>
            </w:r>
            <w:r>
              <w:rPr>
                <w:rFonts w:hint="eastAsia"/>
                <w:color w:val="000000" w:themeColor="text1"/>
                <w:sz w:val="21"/>
                <w:szCs w:val="21"/>
                <w14:textFill>
                  <w14:solidFill>
                    <w14:schemeClr w14:val="tx1"/>
                  </w14:solidFill>
                </w14:textFill>
              </w:rPr>
              <w:t>标准条文</w:t>
            </w:r>
          </w:p>
        </w:tc>
        <w:tc>
          <w:tcPr>
            <w:tcW w:w="395" w:type="pct"/>
            <w:tcBorders>
              <w:top w:val="single" w:color="auto" w:sz="4" w:space="0"/>
              <w:left w:val="single" w:color="auto" w:sz="4" w:space="0"/>
              <w:bottom w:val="single" w:color="auto" w:sz="4" w:space="0"/>
              <w:right w:val="single" w:color="auto" w:sz="4" w:space="0"/>
            </w:tcBorders>
            <w:vAlign w:val="center"/>
          </w:tcPr>
          <w:p w14:paraId="5ADE0D6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是否符合</w:t>
            </w:r>
          </w:p>
        </w:tc>
        <w:tc>
          <w:tcPr>
            <w:tcW w:w="1130" w:type="pct"/>
            <w:tcBorders>
              <w:top w:val="single" w:color="auto" w:sz="4" w:space="0"/>
              <w:left w:val="single" w:color="auto" w:sz="4" w:space="0"/>
              <w:bottom w:val="single" w:color="auto" w:sz="4" w:space="0"/>
              <w:right w:val="single" w:color="auto" w:sz="4" w:space="0"/>
            </w:tcBorders>
            <w:vAlign w:val="center"/>
          </w:tcPr>
          <w:p w14:paraId="0879218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14:paraId="21905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restart"/>
            <w:tcBorders>
              <w:top w:val="single" w:color="auto" w:sz="4" w:space="0"/>
              <w:left w:val="single" w:color="auto" w:sz="4" w:space="0"/>
              <w:right w:val="single" w:color="auto" w:sz="4" w:space="0"/>
            </w:tcBorders>
            <w:vAlign w:val="center"/>
          </w:tcPr>
          <w:p w14:paraId="2D9BCAF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青岛石化公司</w:t>
            </w:r>
          </w:p>
        </w:tc>
        <w:tc>
          <w:tcPr>
            <w:tcW w:w="250" w:type="pct"/>
            <w:vMerge w:val="restart"/>
            <w:tcBorders>
              <w:top w:val="single" w:color="auto" w:sz="4" w:space="0"/>
              <w:left w:val="single" w:color="auto" w:sz="4" w:space="0"/>
              <w:right w:val="single" w:color="auto" w:sz="4" w:space="0"/>
            </w:tcBorders>
            <w:vAlign w:val="center"/>
          </w:tcPr>
          <w:p w14:paraId="2B78BE1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东</w:t>
            </w:r>
          </w:p>
        </w:tc>
        <w:tc>
          <w:tcPr>
            <w:tcW w:w="630" w:type="pct"/>
            <w:tcBorders>
              <w:top w:val="single" w:color="auto" w:sz="4" w:space="0"/>
              <w:left w:val="single" w:color="auto" w:sz="4" w:space="0"/>
              <w:bottom w:val="single" w:color="auto" w:sz="4" w:space="0"/>
              <w:right w:val="single" w:color="auto" w:sz="4" w:space="0"/>
            </w:tcBorders>
            <w:vAlign w:val="center"/>
          </w:tcPr>
          <w:p w14:paraId="3A94786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恒基水泥厂</w:t>
            </w:r>
          </w:p>
        </w:tc>
        <w:tc>
          <w:tcPr>
            <w:tcW w:w="552" w:type="pct"/>
            <w:tcBorders>
              <w:top w:val="single" w:color="auto" w:sz="4" w:space="0"/>
              <w:left w:val="single" w:color="auto" w:sz="4" w:space="0"/>
              <w:bottom w:val="single" w:color="auto" w:sz="4" w:space="0"/>
              <w:right w:val="single" w:color="auto" w:sz="4" w:space="0"/>
            </w:tcBorders>
            <w:vAlign w:val="center"/>
          </w:tcPr>
          <w:p w14:paraId="240B1B1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82</w:t>
            </w:r>
          </w:p>
        </w:tc>
        <w:tc>
          <w:tcPr>
            <w:tcW w:w="632" w:type="pct"/>
            <w:tcBorders>
              <w:top w:val="single" w:color="auto" w:sz="4" w:space="0"/>
              <w:left w:val="single" w:color="auto" w:sz="4" w:space="0"/>
              <w:bottom w:val="single" w:color="auto" w:sz="4" w:space="0"/>
              <w:right w:val="single" w:color="auto" w:sz="4" w:space="0"/>
            </w:tcBorders>
            <w:vAlign w:val="center"/>
          </w:tcPr>
          <w:p w14:paraId="05C18F1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70</w:t>
            </w:r>
          </w:p>
        </w:tc>
        <w:tc>
          <w:tcPr>
            <w:tcW w:w="1028" w:type="pct"/>
            <w:tcBorders>
              <w:top w:val="single" w:color="auto" w:sz="4" w:space="0"/>
              <w:left w:val="single" w:color="auto" w:sz="4" w:space="0"/>
              <w:bottom w:val="single" w:color="auto" w:sz="4" w:space="0"/>
              <w:right w:val="single" w:color="auto" w:sz="4" w:space="0"/>
            </w:tcBorders>
            <w:vAlign w:val="center"/>
          </w:tcPr>
          <w:p w14:paraId="6FAD700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GB50160-2008，2018年版</w:t>
            </w:r>
          </w:p>
          <w:p w14:paraId="0D43C8E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表4.1.9</w:t>
            </w:r>
          </w:p>
        </w:tc>
        <w:tc>
          <w:tcPr>
            <w:tcW w:w="395" w:type="pct"/>
            <w:tcBorders>
              <w:top w:val="single" w:color="auto" w:sz="4" w:space="0"/>
              <w:left w:val="single" w:color="auto" w:sz="4" w:space="0"/>
              <w:bottom w:val="single" w:color="auto" w:sz="4" w:space="0"/>
              <w:right w:val="single" w:color="auto" w:sz="4" w:space="0"/>
            </w:tcBorders>
            <w:vAlign w:val="center"/>
          </w:tcPr>
          <w:p w14:paraId="4353340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4EA741F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总变至恒基水泥厂围墙</w:t>
            </w:r>
          </w:p>
        </w:tc>
      </w:tr>
      <w:tr w14:paraId="0DE5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3EA8954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00B882B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14:paraId="026C8EE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青岛特固德商砼有限公司</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55FB62B3">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hint="default" w:ascii="Calibri" w:hAnsi="Calibri"/>
                <w:color w:val="000000" w:themeColor="text1"/>
                <w:sz w:val="21"/>
                <w:szCs w:val="21"/>
                <w14:textFill>
                  <w14:solidFill>
                    <w14:schemeClr w14:val="tx1"/>
                  </w14:solidFill>
                </w14:textFill>
              </w:rPr>
              <w:t>145.11</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7A2FDF5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hint="default" w:ascii="Calibri" w:hAnsi="Calibri"/>
                <w:color w:val="000000" w:themeColor="text1"/>
                <w:sz w:val="21"/>
                <w:szCs w:val="21"/>
                <w14:textFill>
                  <w14:solidFill>
                    <w14:schemeClr w14:val="tx1"/>
                  </w14:solidFill>
                </w14:textFill>
              </w:rPr>
              <w:t>50</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49A566AE">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21C1364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77E2271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催化裂化装置至特固德商砼公司围墙</w:t>
            </w:r>
          </w:p>
        </w:tc>
      </w:tr>
      <w:tr w14:paraId="5D931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33BE1F1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09D1B87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14:paraId="18C804C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hint="default" w:ascii="Calibri" w:hAnsi="Calibri"/>
                <w:color w:val="000000" w:themeColor="text1"/>
                <w:sz w:val="21"/>
                <w:szCs w:val="21"/>
                <w14:textFill>
                  <w14:solidFill>
                    <w14:schemeClr w14:val="tx1"/>
                  </w14:solidFill>
                </w14:textFill>
              </w:rPr>
              <w:t>娄</w:t>
            </w:r>
            <w:r>
              <w:rPr>
                <w:rFonts w:ascii="Calibri" w:hAnsi="Calibri"/>
                <w:color w:val="000000" w:themeColor="text1"/>
                <w:sz w:val="21"/>
                <w:szCs w:val="21"/>
                <w14:textFill>
                  <w14:solidFill>
                    <w14:schemeClr w14:val="tx1"/>
                  </w14:solidFill>
                </w14:textFill>
              </w:rPr>
              <w:t>山河</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35704DC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27</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6FF5DAA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2E02FB53">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1E1BB75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7961CC9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厂区围墙至河岸边最近距离</w:t>
            </w:r>
          </w:p>
        </w:tc>
      </w:tr>
      <w:tr w14:paraId="7CFB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51C784C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6DFB46A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vMerge w:val="restart"/>
            <w:tcBorders>
              <w:top w:val="single" w:color="auto" w:sz="4" w:space="0"/>
              <w:left w:val="single" w:color="auto" w:sz="4" w:space="0"/>
              <w:right w:val="single" w:color="auto" w:sz="4" w:space="0"/>
            </w:tcBorders>
            <w:shd w:val="clear" w:color="auto" w:fill="auto"/>
            <w:vAlign w:val="center"/>
          </w:tcPr>
          <w:p w14:paraId="486A779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中铁二十五局装配式构件厂</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469392D3">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274</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46D9C43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70</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1570A54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2797ABE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113887A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110kV总变至中铁二十五局装配式构件厂围墙</w:t>
            </w:r>
          </w:p>
        </w:tc>
      </w:tr>
      <w:tr w14:paraId="370E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2431768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217743C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vMerge w:val="continue"/>
            <w:tcBorders>
              <w:left w:val="single" w:color="auto" w:sz="4" w:space="0"/>
              <w:bottom w:val="single" w:color="auto" w:sz="4" w:space="0"/>
              <w:right w:val="single" w:color="auto" w:sz="4" w:space="0"/>
            </w:tcBorders>
            <w:shd w:val="clear" w:color="auto" w:fill="auto"/>
            <w:vAlign w:val="center"/>
          </w:tcPr>
          <w:p w14:paraId="52D4270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color w:val="000000" w:themeColor="text1"/>
                <w:sz w:val="21"/>
                <w:szCs w:val="21"/>
                <w14:textFill>
                  <w14:solidFill>
                    <w14:schemeClr w14:val="tx1"/>
                  </w14:solidFill>
                </w14:textFill>
              </w:rPr>
            </w:pP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70A0619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166</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02C9BE1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70</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43E70CC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0C8BEE9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39246B0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办公大楼至中铁二十五局装配式构件厂围墙</w:t>
            </w:r>
          </w:p>
        </w:tc>
      </w:tr>
      <w:tr w14:paraId="665F5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2966E09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bottom w:val="single" w:color="auto" w:sz="4" w:space="0"/>
              <w:right w:val="single" w:color="auto" w:sz="4" w:space="0"/>
            </w:tcBorders>
            <w:vAlign w:val="center"/>
          </w:tcPr>
          <w:p w14:paraId="3B77ED7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left w:val="single" w:color="auto" w:sz="4" w:space="0"/>
              <w:bottom w:val="single" w:color="auto" w:sz="4" w:space="0"/>
              <w:right w:val="single" w:color="auto" w:sz="4" w:space="0"/>
            </w:tcBorders>
            <w:shd w:val="clear" w:color="auto" w:fill="auto"/>
            <w:vAlign w:val="center"/>
          </w:tcPr>
          <w:p w14:paraId="2FAF00B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环厂路</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3A4F3E26">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34</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14CB662E">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3F2D2A3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593D1ED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180FA23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最近的催化裂化装置至路边</w:t>
            </w:r>
          </w:p>
        </w:tc>
      </w:tr>
      <w:tr w14:paraId="07FB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3ACD701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restart"/>
            <w:tcBorders>
              <w:top w:val="single" w:color="auto" w:sz="4" w:space="0"/>
              <w:left w:val="single" w:color="auto" w:sz="4" w:space="0"/>
              <w:right w:val="single" w:color="auto" w:sz="4" w:space="0"/>
            </w:tcBorders>
            <w:vAlign w:val="center"/>
          </w:tcPr>
          <w:p w14:paraId="0B4706A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东北</w:t>
            </w:r>
          </w:p>
        </w:tc>
        <w:tc>
          <w:tcPr>
            <w:tcW w:w="630" w:type="pct"/>
            <w:tcBorders>
              <w:top w:val="single" w:color="auto" w:sz="4" w:space="0"/>
              <w:left w:val="single" w:color="auto" w:sz="4" w:space="0"/>
              <w:bottom w:val="single" w:color="auto" w:sz="4" w:space="0"/>
              <w:right w:val="single" w:color="auto" w:sz="4" w:space="0"/>
            </w:tcBorders>
            <w:vAlign w:val="center"/>
          </w:tcPr>
          <w:p w14:paraId="01BE0ED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滨海路</w:t>
            </w:r>
          </w:p>
        </w:tc>
        <w:tc>
          <w:tcPr>
            <w:tcW w:w="552" w:type="pct"/>
            <w:tcBorders>
              <w:top w:val="single" w:color="auto" w:sz="4" w:space="0"/>
              <w:left w:val="single" w:color="auto" w:sz="4" w:space="0"/>
              <w:bottom w:val="single" w:color="auto" w:sz="4" w:space="0"/>
              <w:right w:val="single" w:color="auto" w:sz="4" w:space="0"/>
            </w:tcBorders>
            <w:vAlign w:val="center"/>
          </w:tcPr>
          <w:p w14:paraId="3200DFD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rFonts w:hint="default" w:eastAsia="宋体"/>
                <w:color w:val="000000" w:themeColor="text1"/>
                <w:sz w:val="21"/>
                <w:szCs w:val="21"/>
                <w:lang w:eastAsia="zh-CN"/>
                <w14:textFill>
                  <w14:solidFill>
                    <w14:schemeClr w14:val="tx1"/>
                  </w14:solidFill>
                </w14:textFill>
              </w:rPr>
            </w:pPr>
            <w:r>
              <w:rPr>
                <w:color w:val="000000" w:themeColor="text1"/>
                <w:sz w:val="21"/>
                <w:szCs w:val="21"/>
                <w14:textFill>
                  <w14:solidFill>
                    <w14:schemeClr w14:val="tx1"/>
                  </w14:solidFill>
                </w14:textFill>
              </w:rPr>
              <w:t>5</w:t>
            </w:r>
            <w:r>
              <w:rPr>
                <w:rFonts w:hint="default"/>
                <w:color w:val="000000" w:themeColor="text1"/>
                <w:sz w:val="21"/>
                <w:szCs w:val="21"/>
                <w:lang w:val="en-US" w:eastAsia="zh-CN"/>
                <w14:textFill>
                  <w14:solidFill>
                    <w14:schemeClr w14:val="tx1"/>
                  </w14:solidFill>
                </w14:textFill>
              </w:rPr>
              <w:t>3</w:t>
            </w:r>
          </w:p>
        </w:tc>
        <w:tc>
          <w:tcPr>
            <w:tcW w:w="632" w:type="pct"/>
            <w:tcBorders>
              <w:top w:val="single" w:color="auto" w:sz="4" w:space="0"/>
              <w:left w:val="single" w:color="auto" w:sz="4" w:space="0"/>
              <w:bottom w:val="single" w:color="auto" w:sz="4" w:space="0"/>
              <w:right w:val="single" w:color="auto" w:sz="4" w:space="0"/>
            </w:tcBorders>
            <w:vAlign w:val="center"/>
          </w:tcPr>
          <w:p w14:paraId="62D23AB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vAlign w:val="center"/>
          </w:tcPr>
          <w:p w14:paraId="5142394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GB50160-2008，2018年版</w:t>
            </w:r>
          </w:p>
          <w:p w14:paraId="53F8D2D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表4.1.9</w:t>
            </w:r>
          </w:p>
        </w:tc>
        <w:tc>
          <w:tcPr>
            <w:tcW w:w="395" w:type="pct"/>
            <w:tcBorders>
              <w:top w:val="single" w:color="auto" w:sz="4" w:space="0"/>
              <w:left w:val="single" w:color="auto" w:sz="4" w:space="0"/>
              <w:bottom w:val="single" w:color="auto" w:sz="4" w:space="0"/>
              <w:right w:val="single" w:color="auto" w:sz="4" w:space="0"/>
            </w:tcBorders>
            <w:vAlign w:val="center"/>
          </w:tcPr>
          <w:p w14:paraId="2EF9B81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00FAE9A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MTBE装置至路边</w:t>
            </w:r>
          </w:p>
        </w:tc>
      </w:tr>
      <w:tr w14:paraId="416CA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3526377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bottom w:val="single" w:color="auto" w:sz="4" w:space="0"/>
              <w:right w:val="single" w:color="auto" w:sz="4" w:space="0"/>
            </w:tcBorders>
            <w:vAlign w:val="center"/>
          </w:tcPr>
          <w:p w14:paraId="14175943">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vAlign w:val="center"/>
          </w:tcPr>
          <w:p w14:paraId="45DEF0D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娄山站</w:t>
            </w:r>
          </w:p>
        </w:tc>
        <w:tc>
          <w:tcPr>
            <w:tcW w:w="552" w:type="pct"/>
            <w:tcBorders>
              <w:top w:val="single" w:color="auto" w:sz="4" w:space="0"/>
              <w:left w:val="single" w:color="auto" w:sz="4" w:space="0"/>
              <w:bottom w:val="single" w:color="auto" w:sz="4" w:space="0"/>
              <w:right w:val="single" w:color="auto" w:sz="4" w:space="0"/>
            </w:tcBorders>
            <w:vAlign w:val="center"/>
          </w:tcPr>
          <w:p w14:paraId="3AFEBC0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842</w:t>
            </w:r>
          </w:p>
        </w:tc>
        <w:tc>
          <w:tcPr>
            <w:tcW w:w="632" w:type="pct"/>
            <w:tcBorders>
              <w:top w:val="single" w:color="auto" w:sz="4" w:space="0"/>
              <w:left w:val="single" w:color="auto" w:sz="4" w:space="0"/>
              <w:bottom w:val="single" w:color="auto" w:sz="4" w:space="0"/>
              <w:right w:val="single" w:color="auto" w:sz="4" w:space="0"/>
            </w:tcBorders>
            <w:vAlign w:val="center"/>
          </w:tcPr>
          <w:p w14:paraId="2A573F3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25</w:t>
            </w:r>
          </w:p>
        </w:tc>
        <w:tc>
          <w:tcPr>
            <w:tcW w:w="1028" w:type="pct"/>
            <w:tcBorders>
              <w:top w:val="single" w:color="auto" w:sz="4" w:space="0"/>
              <w:left w:val="single" w:color="auto" w:sz="4" w:space="0"/>
              <w:bottom w:val="single" w:color="auto" w:sz="4" w:space="0"/>
              <w:right w:val="single" w:color="auto" w:sz="4" w:space="0"/>
            </w:tcBorders>
            <w:vAlign w:val="center"/>
          </w:tcPr>
          <w:p w14:paraId="2044E55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vAlign w:val="center"/>
          </w:tcPr>
          <w:p w14:paraId="3BD9B4F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4F8AEEE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110kV总变至娄山站建筑外墙</w:t>
            </w:r>
          </w:p>
        </w:tc>
      </w:tr>
      <w:tr w14:paraId="31E1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2A09125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tcBorders>
              <w:top w:val="single" w:color="auto" w:sz="4" w:space="0"/>
              <w:left w:val="single" w:color="auto" w:sz="4" w:space="0"/>
              <w:bottom w:val="single" w:color="auto" w:sz="4" w:space="0"/>
              <w:right w:val="single" w:color="auto" w:sz="4" w:space="0"/>
            </w:tcBorders>
            <w:vAlign w:val="center"/>
          </w:tcPr>
          <w:p w14:paraId="7D4A615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南</w:t>
            </w:r>
          </w:p>
        </w:tc>
        <w:tc>
          <w:tcPr>
            <w:tcW w:w="630" w:type="pct"/>
            <w:tcBorders>
              <w:top w:val="single" w:color="auto" w:sz="4" w:space="0"/>
              <w:left w:val="single" w:color="auto" w:sz="4" w:space="0"/>
              <w:bottom w:val="single" w:color="auto" w:sz="4" w:space="0"/>
              <w:right w:val="single" w:color="auto" w:sz="4" w:space="0"/>
            </w:tcBorders>
            <w:vAlign w:val="center"/>
          </w:tcPr>
          <w:p w14:paraId="5F582D26">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环厂路</w:t>
            </w:r>
          </w:p>
        </w:tc>
        <w:tc>
          <w:tcPr>
            <w:tcW w:w="552" w:type="pct"/>
            <w:tcBorders>
              <w:top w:val="single" w:color="auto" w:sz="4" w:space="0"/>
              <w:left w:val="single" w:color="auto" w:sz="4" w:space="0"/>
              <w:bottom w:val="single" w:color="auto" w:sz="4" w:space="0"/>
              <w:right w:val="single" w:color="auto" w:sz="4" w:space="0"/>
            </w:tcBorders>
            <w:vAlign w:val="center"/>
          </w:tcPr>
          <w:p w14:paraId="369D124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70</w:t>
            </w:r>
          </w:p>
        </w:tc>
        <w:tc>
          <w:tcPr>
            <w:tcW w:w="632" w:type="pct"/>
            <w:tcBorders>
              <w:top w:val="single" w:color="auto" w:sz="4" w:space="0"/>
              <w:left w:val="single" w:color="auto" w:sz="4" w:space="0"/>
              <w:bottom w:val="single" w:color="auto" w:sz="4" w:space="0"/>
              <w:right w:val="single" w:color="auto" w:sz="4" w:space="0"/>
            </w:tcBorders>
            <w:vAlign w:val="center"/>
          </w:tcPr>
          <w:p w14:paraId="37FC9E7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vAlign w:val="center"/>
          </w:tcPr>
          <w:p w14:paraId="4ED87AF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vAlign w:val="center"/>
          </w:tcPr>
          <w:p w14:paraId="604185F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479DD14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焦化装置</w:t>
            </w:r>
            <w:r>
              <w:rPr>
                <w:rFonts w:hint="default" w:ascii="Calibri" w:hAnsi="Calibri"/>
                <w:color w:val="000000" w:themeColor="text1"/>
                <w:sz w:val="21"/>
                <w:szCs w:val="21"/>
                <w14:textFill>
                  <w14:solidFill>
                    <w14:schemeClr w14:val="tx1"/>
                  </w14:solidFill>
                </w14:textFill>
              </w:rPr>
              <w:t>（甲类）</w:t>
            </w:r>
            <w:r>
              <w:rPr>
                <w:rFonts w:ascii="Calibri" w:hAnsi="Calibri"/>
                <w:color w:val="000000" w:themeColor="text1"/>
                <w:sz w:val="21"/>
                <w:szCs w:val="21"/>
                <w14:textFill>
                  <w14:solidFill>
                    <w14:schemeClr w14:val="tx1"/>
                  </w14:solidFill>
                </w14:textFill>
              </w:rPr>
              <w:t>至路边</w:t>
            </w:r>
          </w:p>
        </w:tc>
      </w:tr>
      <w:tr w14:paraId="21065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3F0B908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restart"/>
            <w:tcBorders>
              <w:top w:val="single" w:color="auto" w:sz="4" w:space="0"/>
              <w:left w:val="single" w:color="auto" w:sz="4" w:space="0"/>
              <w:right w:val="single" w:color="auto" w:sz="4" w:space="0"/>
            </w:tcBorders>
            <w:vAlign w:val="center"/>
          </w:tcPr>
          <w:p w14:paraId="62487BF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西</w:t>
            </w:r>
          </w:p>
        </w:tc>
        <w:tc>
          <w:tcPr>
            <w:tcW w:w="630" w:type="pct"/>
            <w:tcBorders>
              <w:top w:val="single" w:color="auto" w:sz="4" w:space="0"/>
              <w:left w:val="single" w:color="auto" w:sz="4" w:space="0"/>
              <w:bottom w:val="single" w:color="auto" w:sz="4" w:space="0"/>
              <w:right w:val="single" w:color="auto" w:sz="4" w:space="0"/>
            </w:tcBorders>
            <w:vAlign w:val="center"/>
          </w:tcPr>
          <w:p w14:paraId="28422CE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环湾路</w:t>
            </w:r>
          </w:p>
        </w:tc>
        <w:tc>
          <w:tcPr>
            <w:tcW w:w="552" w:type="pct"/>
            <w:tcBorders>
              <w:top w:val="single" w:color="auto" w:sz="4" w:space="0"/>
              <w:left w:val="single" w:color="auto" w:sz="4" w:space="0"/>
              <w:bottom w:val="single" w:color="auto" w:sz="4" w:space="0"/>
              <w:right w:val="single" w:color="auto" w:sz="4" w:space="0"/>
            </w:tcBorders>
            <w:vAlign w:val="center"/>
          </w:tcPr>
          <w:p w14:paraId="16B33D5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58</w:t>
            </w:r>
          </w:p>
        </w:tc>
        <w:tc>
          <w:tcPr>
            <w:tcW w:w="632" w:type="pct"/>
            <w:tcBorders>
              <w:top w:val="single" w:color="auto" w:sz="4" w:space="0"/>
              <w:left w:val="single" w:color="auto" w:sz="4" w:space="0"/>
              <w:bottom w:val="single" w:color="auto" w:sz="4" w:space="0"/>
              <w:right w:val="single" w:color="auto" w:sz="4" w:space="0"/>
            </w:tcBorders>
            <w:vAlign w:val="center"/>
          </w:tcPr>
          <w:p w14:paraId="7D8060D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hint="default" w:ascii="Calibri" w:hAnsi="Calibri"/>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vAlign w:val="center"/>
          </w:tcPr>
          <w:p w14:paraId="1B0DAC2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vAlign w:val="center"/>
          </w:tcPr>
          <w:p w14:paraId="756FEA1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4479D5C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气柜至环湾路边</w:t>
            </w:r>
          </w:p>
        </w:tc>
      </w:tr>
      <w:tr w14:paraId="093A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51E2313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6F6418B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vAlign w:val="center"/>
          </w:tcPr>
          <w:p w14:paraId="74386A4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环厂路</w:t>
            </w:r>
          </w:p>
        </w:tc>
        <w:tc>
          <w:tcPr>
            <w:tcW w:w="552" w:type="pct"/>
            <w:tcBorders>
              <w:top w:val="single" w:color="auto" w:sz="4" w:space="0"/>
              <w:left w:val="single" w:color="auto" w:sz="4" w:space="0"/>
              <w:bottom w:val="single" w:color="auto" w:sz="4" w:space="0"/>
              <w:right w:val="single" w:color="auto" w:sz="4" w:space="0"/>
            </w:tcBorders>
            <w:vAlign w:val="center"/>
          </w:tcPr>
          <w:p w14:paraId="7953EB9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25</w:t>
            </w:r>
          </w:p>
        </w:tc>
        <w:tc>
          <w:tcPr>
            <w:tcW w:w="632" w:type="pct"/>
            <w:tcBorders>
              <w:top w:val="single" w:color="auto" w:sz="4" w:space="0"/>
              <w:left w:val="single" w:color="auto" w:sz="4" w:space="0"/>
              <w:bottom w:val="single" w:color="auto" w:sz="4" w:space="0"/>
              <w:right w:val="single" w:color="auto" w:sz="4" w:space="0"/>
            </w:tcBorders>
            <w:vAlign w:val="center"/>
          </w:tcPr>
          <w:p w14:paraId="38803B4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hint="default" w:ascii="Calibri" w:hAnsi="Calibri"/>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vAlign w:val="center"/>
          </w:tcPr>
          <w:p w14:paraId="688254A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vAlign w:val="center"/>
          </w:tcPr>
          <w:p w14:paraId="611EB68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0DCB500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气柜至路边</w:t>
            </w:r>
          </w:p>
        </w:tc>
      </w:tr>
      <w:tr w14:paraId="3CDC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00FE116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2B712C5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vAlign w:val="center"/>
          </w:tcPr>
          <w:p w14:paraId="264076E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环厂路</w:t>
            </w:r>
          </w:p>
        </w:tc>
        <w:tc>
          <w:tcPr>
            <w:tcW w:w="552" w:type="pct"/>
            <w:tcBorders>
              <w:top w:val="single" w:color="auto" w:sz="4" w:space="0"/>
              <w:left w:val="single" w:color="auto" w:sz="4" w:space="0"/>
              <w:bottom w:val="single" w:color="auto" w:sz="4" w:space="0"/>
              <w:right w:val="single" w:color="auto" w:sz="4" w:space="0"/>
            </w:tcBorders>
            <w:vAlign w:val="center"/>
          </w:tcPr>
          <w:p w14:paraId="65A0719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25</w:t>
            </w:r>
          </w:p>
        </w:tc>
        <w:tc>
          <w:tcPr>
            <w:tcW w:w="632" w:type="pct"/>
            <w:tcBorders>
              <w:top w:val="single" w:color="auto" w:sz="4" w:space="0"/>
              <w:left w:val="single" w:color="auto" w:sz="4" w:space="0"/>
              <w:bottom w:val="single" w:color="auto" w:sz="4" w:space="0"/>
              <w:right w:val="single" w:color="auto" w:sz="4" w:space="0"/>
            </w:tcBorders>
            <w:vAlign w:val="center"/>
          </w:tcPr>
          <w:p w14:paraId="3F916ED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vAlign w:val="center"/>
          </w:tcPr>
          <w:p w14:paraId="158EE3A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395" w:type="pct"/>
            <w:tcBorders>
              <w:top w:val="single" w:color="auto" w:sz="4" w:space="0"/>
              <w:left w:val="single" w:color="auto" w:sz="4" w:space="0"/>
              <w:bottom w:val="single" w:color="auto" w:sz="4" w:space="0"/>
              <w:right w:val="single" w:color="auto" w:sz="4" w:space="0"/>
            </w:tcBorders>
            <w:vAlign w:val="center"/>
          </w:tcPr>
          <w:p w14:paraId="1BB75676">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45F604C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气柜至路边</w:t>
            </w:r>
          </w:p>
        </w:tc>
      </w:tr>
      <w:tr w14:paraId="0A60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75B55882">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53B465D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vAlign w:val="center"/>
          </w:tcPr>
          <w:p w14:paraId="1CCEE24A">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环厂路</w:t>
            </w:r>
          </w:p>
        </w:tc>
        <w:tc>
          <w:tcPr>
            <w:tcW w:w="552" w:type="pct"/>
            <w:tcBorders>
              <w:top w:val="single" w:color="auto" w:sz="4" w:space="0"/>
              <w:left w:val="single" w:color="auto" w:sz="4" w:space="0"/>
              <w:bottom w:val="single" w:color="auto" w:sz="4" w:space="0"/>
              <w:right w:val="single" w:color="auto" w:sz="4" w:space="0"/>
            </w:tcBorders>
            <w:vAlign w:val="center"/>
          </w:tcPr>
          <w:p w14:paraId="5A916CA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24</w:t>
            </w:r>
          </w:p>
        </w:tc>
        <w:tc>
          <w:tcPr>
            <w:tcW w:w="632" w:type="pct"/>
            <w:tcBorders>
              <w:top w:val="single" w:color="auto" w:sz="4" w:space="0"/>
              <w:left w:val="single" w:color="auto" w:sz="4" w:space="0"/>
              <w:bottom w:val="single" w:color="auto" w:sz="4" w:space="0"/>
              <w:right w:val="single" w:color="auto" w:sz="4" w:space="0"/>
            </w:tcBorders>
            <w:vAlign w:val="center"/>
          </w:tcPr>
          <w:p w14:paraId="00C5AEB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vAlign w:val="center"/>
          </w:tcPr>
          <w:p w14:paraId="35B88DF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vAlign w:val="center"/>
          </w:tcPr>
          <w:p w14:paraId="7F51D1AA">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30D10CB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710#95汽油罐</w:t>
            </w:r>
            <w:r>
              <w:rPr>
                <w:rFonts w:hint="default" w:ascii="Calibri" w:hAnsi="Calibri"/>
                <w:color w:val="000000" w:themeColor="text1"/>
                <w:sz w:val="21"/>
                <w:szCs w:val="21"/>
                <w14:textFill>
                  <w14:solidFill>
                    <w14:schemeClr w14:val="tx1"/>
                  </w14:solidFill>
                </w14:textFill>
              </w:rPr>
              <w:t>（甲类）</w:t>
            </w:r>
            <w:r>
              <w:rPr>
                <w:rFonts w:ascii="Calibri" w:hAnsi="Calibri"/>
                <w:color w:val="000000" w:themeColor="text1"/>
                <w:sz w:val="21"/>
                <w:szCs w:val="21"/>
                <w14:textFill>
                  <w14:solidFill>
                    <w14:schemeClr w14:val="tx1"/>
                  </w14:solidFill>
                </w14:textFill>
              </w:rPr>
              <w:t>至环湾路路边</w:t>
            </w:r>
          </w:p>
        </w:tc>
      </w:tr>
      <w:tr w14:paraId="5D88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34B037A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43C98479">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vAlign w:val="center"/>
          </w:tcPr>
          <w:p w14:paraId="5CCB40B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环厂路</w:t>
            </w:r>
          </w:p>
        </w:tc>
        <w:tc>
          <w:tcPr>
            <w:tcW w:w="552" w:type="pct"/>
            <w:tcBorders>
              <w:top w:val="single" w:color="auto" w:sz="4" w:space="0"/>
              <w:left w:val="single" w:color="auto" w:sz="4" w:space="0"/>
              <w:bottom w:val="single" w:color="auto" w:sz="4" w:space="0"/>
              <w:right w:val="single" w:color="auto" w:sz="4" w:space="0"/>
            </w:tcBorders>
            <w:vAlign w:val="center"/>
          </w:tcPr>
          <w:p w14:paraId="4E718A3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24</w:t>
            </w:r>
          </w:p>
        </w:tc>
        <w:tc>
          <w:tcPr>
            <w:tcW w:w="632" w:type="pct"/>
            <w:tcBorders>
              <w:top w:val="single" w:color="auto" w:sz="4" w:space="0"/>
              <w:left w:val="single" w:color="auto" w:sz="4" w:space="0"/>
              <w:bottom w:val="single" w:color="auto" w:sz="4" w:space="0"/>
              <w:right w:val="single" w:color="auto" w:sz="4" w:space="0"/>
            </w:tcBorders>
            <w:vAlign w:val="center"/>
          </w:tcPr>
          <w:p w14:paraId="6AFF805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20</w:t>
            </w:r>
          </w:p>
        </w:tc>
        <w:tc>
          <w:tcPr>
            <w:tcW w:w="1028" w:type="pct"/>
            <w:tcBorders>
              <w:top w:val="single" w:color="auto" w:sz="4" w:space="0"/>
              <w:left w:val="single" w:color="auto" w:sz="4" w:space="0"/>
              <w:bottom w:val="single" w:color="auto" w:sz="4" w:space="0"/>
              <w:right w:val="single" w:color="auto" w:sz="4" w:space="0"/>
            </w:tcBorders>
            <w:vAlign w:val="center"/>
          </w:tcPr>
          <w:p w14:paraId="7F33D8E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vAlign w:val="center"/>
          </w:tcPr>
          <w:p w14:paraId="487E961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31AA9AA4">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硫磺回收装置</w:t>
            </w:r>
            <w:r>
              <w:rPr>
                <w:rFonts w:hint="default" w:ascii="Calibri" w:hAnsi="Calibri"/>
                <w:color w:val="000000" w:themeColor="text1"/>
                <w:sz w:val="21"/>
                <w:szCs w:val="21"/>
                <w14:textFill>
                  <w14:solidFill>
                    <w14:schemeClr w14:val="tx1"/>
                  </w14:solidFill>
                </w14:textFill>
              </w:rPr>
              <w:t>（甲类）</w:t>
            </w:r>
            <w:r>
              <w:rPr>
                <w:rFonts w:ascii="Calibri" w:hAnsi="Calibri"/>
                <w:color w:val="000000" w:themeColor="text1"/>
                <w:sz w:val="21"/>
                <w:szCs w:val="21"/>
                <w14:textFill>
                  <w14:solidFill>
                    <w14:schemeClr w14:val="tx1"/>
                  </w14:solidFill>
                </w14:textFill>
              </w:rPr>
              <w:t>至环湾路路边</w:t>
            </w:r>
          </w:p>
        </w:tc>
      </w:tr>
      <w:tr w14:paraId="0826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71AEA29A">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bottom w:val="single" w:color="auto" w:sz="4" w:space="0"/>
              <w:right w:val="single" w:color="auto" w:sz="4" w:space="0"/>
            </w:tcBorders>
            <w:vAlign w:val="center"/>
          </w:tcPr>
          <w:p w14:paraId="2CD4668E">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14:paraId="62AEF63E">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李沧油库</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7FCA08A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488</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0B47F8A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90</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21736E2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GB50160-2008（2018年版）表4.1.10</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3B4750B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7D26A46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燃料油罐区111#储罐</w:t>
            </w:r>
            <w:r>
              <w:rPr>
                <w:rFonts w:hint="default" w:ascii="Calibri" w:hAnsi="Calibri"/>
                <w:color w:val="000000" w:themeColor="text1"/>
                <w:sz w:val="21"/>
                <w:szCs w:val="21"/>
                <w14:textFill>
                  <w14:solidFill>
                    <w14:schemeClr w14:val="tx1"/>
                  </w14:solidFill>
                </w14:textFill>
              </w:rPr>
              <w:t>（丙类）</w:t>
            </w:r>
            <w:r>
              <w:rPr>
                <w:rFonts w:ascii="Calibri" w:hAnsi="Calibri"/>
                <w:color w:val="000000" w:themeColor="text1"/>
                <w:sz w:val="21"/>
                <w:szCs w:val="21"/>
                <w14:textFill>
                  <w14:solidFill>
                    <w14:schemeClr w14:val="tx1"/>
                  </w14:solidFill>
                </w14:textFill>
              </w:rPr>
              <w:t>至李沧油库办公楼</w:t>
            </w:r>
          </w:p>
        </w:tc>
      </w:tr>
      <w:tr w14:paraId="3C240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004B591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tcBorders>
              <w:top w:val="single" w:color="auto" w:sz="4" w:space="0"/>
              <w:left w:val="single" w:color="auto" w:sz="4" w:space="0"/>
              <w:bottom w:val="single" w:color="auto" w:sz="4" w:space="0"/>
              <w:right w:val="single" w:color="auto" w:sz="4" w:space="0"/>
            </w:tcBorders>
            <w:vAlign w:val="center"/>
          </w:tcPr>
          <w:p w14:paraId="3AD77E98">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rFonts w:hint="default" w:eastAsia="宋体"/>
                <w:color w:val="000000" w:themeColor="text1"/>
                <w:sz w:val="21"/>
                <w:szCs w:val="21"/>
                <w:lang w:val="en-US" w:eastAsia="zh-CN"/>
                <w14:textFill>
                  <w14:solidFill>
                    <w14:schemeClr w14:val="tx1"/>
                  </w14:solidFill>
                </w14:textFill>
              </w:rPr>
            </w:pPr>
            <w:r>
              <w:rPr>
                <w:rFonts w:hint="default"/>
                <w:color w:val="000000" w:themeColor="text1"/>
                <w:sz w:val="21"/>
                <w:szCs w:val="21"/>
                <w:lang w:val="en-US" w:eastAsia="zh-CN"/>
                <w14:textFill>
                  <w14:solidFill>
                    <w14:schemeClr w14:val="tx1"/>
                  </w14:solidFill>
                </w14:textFill>
              </w:rPr>
              <w:t>西北</w:t>
            </w:r>
          </w:p>
        </w:tc>
        <w:tc>
          <w:tcPr>
            <w:tcW w:w="630" w:type="pct"/>
            <w:tcBorders>
              <w:top w:val="single" w:color="auto" w:sz="4" w:space="0"/>
              <w:left w:val="single" w:color="auto" w:sz="4" w:space="0"/>
              <w:bottom w:val="single" w:color="auto" w:sz="4" w:space="0"/>
              <w:right w:val="single" w:color="auto" w:sz="4" w:space="0"/>
            </w:tcBorders>
            <w:vAlign w:val="center"/>
          </w:tcPr>
          <w:p w14:paraId="3D2AF82B">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职工公寓（无人居住）</w:t>
            </w:r>
          </w:p>
        </w:tc>
        <w:tc>
          <w:tcPr>
            <w:tcW w:w="552" w:type="pct"/>
            <w:tcBorders>
              <w:top w:val="single" w:color="auto" w:sz="4" w:space="0"/>
              <w:left w:val="single" w:color="auto" w:sz="4" w:space="0"/>
              <w:bottom w:val="single" w:color="auto" w:sz="4" w:space="0"/>
              <w:right w:val="single" w:color="auto" w:sz="4" w:space="0"/>
            </w:tcBorders>
            <w:vAlign w:val="center"/>
          </w:tcPr>
          <w:p w14:paraId="297FB18B">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276</w:t>
            </w:r>
          </w:p>
        </w:tc>
        <w:tc>
          <w:tcPr>
            <w:tcW w:w="632" w:type="pct"/>
            <w:tcBorders>
              <w:top w:val="single" w:color="auto" w:sz="4" w:space="0"/>
              <w:left w:val="single" w:color="auto" w:sz="4" w:space="0"/>
              <w:bottom w:val="single" w:color="auto" w:sz="4" w:space="0"/>
              <w:right w:val="single" w:color="auto" w:sz="4" w:space="0"/>
            </w:tcBorders>
            <w:vAlign w:val="center"/>
          </w:tcPr>
          <w:p w14:paraId="6673849A">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100</w:t>
            </w:r>
          </w:p>
        </w:tc>
        <w:tc>
          <w:tcPr>
            <w:tcW w:w="1028" w:type="pct"/>
            <w:tcBorders>
              <w:top w:val="single" w:color="auto" w:sz="4" w:space="0"/>
              <w:left w:val="single" w:color="auto" w:sz="4" w:space="0"/>
              <w:bottom w:val="single" w:color="auto" w:sz="4" w:space="0"/>
              <w:right w:val="single" w:color="auto" w:sz="4" w:space="0"/>
            </w:tcBorders>
            <w:vAlign w:val="center"/>
          </w:tcPr>
          <w:p w14:paraId="470D2676">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GB50160-2008（2018年版）表4.1.9</w:t>
            </w:r>
          </w:p>
        </w:tc>
        <w:tc>
          <w:tcPr>
            <w:tcW w:w="395" w:type="pct"/>
            <w:tcBorders>
              <w:top w:val="single" w:color="auto" w:sz="4" w:space="0"/>
              <w:left w:val="single" w:color="auto" w:sz="4" w:space="0"/>
              <w:bottom w:val="single" w:color="auto" w:sz="4" w:space="0"/>
              <w:right w:val="single" w:color="auto" w:sz="4" w:space="0"/>
            </w:tcBorders>
            <w:vAlign w:val="center"/>
          </w:tcPr>
          <w:p w14:paraId="09804A2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6CED18A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color w:val="000000" w:themeColor="text1"/>
                <w:sz w:val="21"/>
                <w:szCs w:val="21"/>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521#汽油储罐</w:t>
            </w:r>
            <w:r>
              <w:rPr>
                <w:rFonts w:hint="default" w:ascii="Calibri" w:hAnsi="Calibri"/>
                <w:color w:val="000000" w:themeColor="text1"/>
                <w:sz w:val="21"/>
                <w:szCs w:val="21"/>
                <w14:textFill>
                  <w14:solidFill>
                    <w14:schemeClr w14:val="tx1"/>
                  </w14:solidFill>
                </w14:textFill>
              </w:rPr>
              <w:t>（甲类）</w:t>
            </w:r>
            <w:r>
              <w:rPr>
                <w:rFonts w:hint="eastAsia" w:ascii="Calibri" w:hAnsi="Calibri"/>
                <w:color w:val="000000" w:themeColor="text1"/>
                <w:sz w:val="21"/>
                <w:szCs w:val="21"/>
                <w14:textFill>
                  <w14:solidFill>
                    <w14:schemeClr w14:val="tx1"/>
                  </w14:solidFill>
                </w14:textFill>
              </w:rPr>
              <w:t>至职工公寓外墙</w:t>
            </w:r>
          </w:p>
        </w:tc>
      </w:tr>
      <w:tr w14:paraId="2950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5C41D35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restart"/>
            <w:tcBorders>
              <w:top w:val="single" w:color="auto" w:sz="4" w:space="0"/>
              <w:left w:val="single" w:color="auto" w:sz="4" w:space="0"/>
              <w:right w:val="single" w:color="auto" w:sz="4" w:space="0"/>
            </w:tcBorders>
            <w:vAlign w:val="center"/>
          </w:tcPr>
          <w:p w14:paraId="772B1154">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北</w:t>
            </w:r>
          </w:p>
        </w:tc>
        <w:tc>
          <w:tcPr>
            <w:tcW w:w="630" w:type="pct"/>
            <w:tcBorders>
              <w:top w:val="single" w:color="auto" w:sz="4" w:space="0"/>
              <w:left w:val="single" w:color="auto" w:sz="4" w:space="0"/>
              <w:bottom w:val="single" w:color="auto" w:sz="4" w:space="0"/>
              <w:right w:val="single" w:color="auto" w:sz="4" w:space="0"/>
            </w:tcBorders>
            <w:vAlign w:val="center"/>
          </w:tcPr>
          <w:p w14:paraId="0AD474D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14:textFill>
                  <w14:solidFill>
                    <w14:schemeClr w14:val="tx1"/>
                  </w14:solidFill>
                </w14:textFill>
              </w:rPr>
              <w:t>南渠工业</w:t>
            </w:r>
            <w:r>
              <w:rPr>
                <w:rFonts w:hint="eastAsia"/>
                <w:color w:val="000000" w:themeColor="text1"/>
                <w:sz w:val="21"/>
                <w:szCs w:val="21"/>
                <w:lang w:val="en-US" w:eastAsia="zh-CN"/>
                <w14:textFill>
                  <w14:solidFill>
                    <w14:schemeClr w14:val="tx1"/>
                  </w14:solidFill>
                </w14:textFill>
              </w:rPr>
              <w:t>园</w:t>
            </w:r>
          </w:p>
        </w:tc>
        <w:tc>
          <w:tcPr>
            <w:tcW w:w="552" w:type="pct"/>
            <w:tcBorders>
              <w:top w:val="single" w:color="auto" w:sz="4" w:space="0"/>
              <w:left w:val="single" w:color="auto" w:sz="4" w:space="0"/>
              <w:bottom w:val="single" w:color="auto" w:sz="4" w:space="0"/>
              <w:right w:val="single" w:color="auto" w:sz="4" w:space="0"/>
            </w:tcBorders>
            <w:vAlign w:val="center"/>
          </w:tcPr>
          <w:p w14:paraId="7EB74B6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128</w:t>
            </w:r>
          </w:p>
        </w:tc>
        <w:tc>
          <w:tcPr>
            <w:tcW w:w="632" w:type="pct"/>
            <w:tcBorders>
              <w:top w:val="single" w:color="auto" w:sz="4" w:space="0"/>
              <w:left w:val="single" w:color="auto" w:sz="4" w:space="0"/>
              <w:bottom w:val="single" w:color="auto" w:sz="4" w:space="0"/>
              <w:right w:val="single" w:color="auto" w:sz="4" w:space="0"/>
            </w:tcBorders>
            <w:vAlign w:val="center"/>
          </w:tcPr>
          <w:p w14:paraId="2BBB62F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70</w:t>
            </w:r>
          </w:p>
        </w:tc>
        <w:tc>
          <w:tcPr>
            <w:tcW w:w="1028" w:type="pct"/>
            <w:tcBorders>
              <w:top w:val="single" w:color="auto" w:sz="4" w:space="0"/>
              <w:left w:val="single" w:color="auto" w:sz="4" w:space="0"/>
              <w:bottom w:val="single" w:color="auto" w:sz="4" w:space="0"/>
              <w:right w:val="single" w:color="auto" w:sz="4" w:space="0"/>
            </w:tcBorders>
            <w:vAlign w:val="center"/>
          </w:tcPr>
          <w:p w14:paraId="49CB2DF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GB50160-2008，2018年版</w:t>
            </w:r>
          </w:p>
          <w:p w14:paraId="6AB95FA5">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表4.1.9</w:t>
            </w:r>
          </w:p>
        </w:tc>
        <w:tc>
          <w:tcPr>
            <w:tcW w:w="395" w:type="pct"/>
            <w:tcBorders>
              <w:top w:val="single" w:color="auto" w:sz="4" w:space="0"/>
              <w:left w:val="single" w:color="auto" w:sz="4" w:space="0"/>
              <w:bottom w:val="single" w:color="auto" w:sz="4" w:space="0"/>
              <w:right w:val="single" w:color="auto" w:sz="4" w:space="0"/>
            </w:tcBorders>
            <w:vAlign w:val="center"/>
          </w:tcPr>
          <w:p w14:paraId="3D73FAAD">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vAlign w:val="center"/>
          </w:tcPr>
          <w:p w14:paraId="5BDDBAF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循环水厂至物流市场围墙</w:t>
            </w:r>
          </w:p>
        </w:tc>
      </w:tr>
      <w:tr w14:paraId="6F71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4EA4181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402C1D2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14:paraId="6FD2097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NPR新材料厂房</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14CE5CA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38</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5219B5D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25</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07B5BDA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GB50160-2008（2018年版）表4.1.9注7</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38469F95">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0CCFF36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聚丙烯控制室、办公楼外墙</w:t>
            </w:r>
          </w:p>
        </w:tc>
      </w:tr>
      <w:tr w14:paraId="7070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right w:val="single" w:color="auto" w:sz="4" w:space="0"/>
            </w:tcBorders>
            <w:vAlign w:val="center"/>
          </w:tcPr>
          <w:p w14:paraId="7C720B50">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right w:val="single" w:color="auto" w:sz="4" w:space="0"/>
            </w:tcBorders>
            <w:vAlign w:val="center"/>
          </w:tcPr>
          <w:p w14:paraId="40A3BC37">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14:paraId="0764FBDF">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闲置厂房</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510405B0">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43</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3E3EC596">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25</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65AC0229">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GB50160-2008（2018年版）表4.1.9注7</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7461D22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5CF9ECED">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eastAsia" w:ascii="Calibri" w:hAnsi="Calibri" w:eastAsia="宋体" w:cs="Times New Roman"/>
                <w:color w:val="000000" w:themeColor="text1"/>
                <w:kern w:val="0"/>
                <w:sz w:val="21"/>
                <w:szCs w:val="21"/>
                <w:lang w:val="en-US" w:eastAsia="zh-CN" w:bidi="ar-SA"/>
                <w14:textFill>
                  <w14:solidFill>
                    <w14:schemeClr w14:val="tx1"/>
                  </w14:solidFill>
                </w14:textFill>
              </w:rPr>
            </w:pPr>
            <w:r>
              <w:rPr>
                <w:rFonts w:hint="eastAsia" w:ascii="Calibri" w:hAnsi="Calibri"/>
                <w:color w:val="000000" w:themeColor="text1"/>
                <w:sz w:val="21"/>
                <w:szCs w:val="21"/>
                <w14:textFill>
                  <w14:solidFill>
                    <w14:schemeClr w14:val="tx1"/>
                  </w14:solidFill>
                </w14:textFill>
              </w:rPr>
              <w:t>聚丙烯循环冷却水塔至围墙</w:t>
            </w:r>
          </w:p>
        </w:tc>
      </w:tr>
      <w:tr w14:paraId="51B0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jc w:val="center"/>
        </w:trPr>
        <w:tc>
          <w:tcPr>
            <w:tcW w:w="379" w:type="pct"/>
            <w:vMerge w:val="continue"/>
            <w:tcBorders>
              <w:left w:val="single" w:color="auto" w:sz="4" w:space="0"/>
              <w:bottom w:val="single" w:color="auto" w:sz="4" w:space="0"/>
              <w:right w:val="single" w:color="auto" w:sz="4" w:space="0"/>
            </w:tcBorders>
            <w:vAlign w:val="center"/>
          </w:tcPr>
          <w:p w14:paraId="1742CD7F">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250" w:type="pct"/>
            <w:vMerge w:val="continue"/>
            <w:tcBorders>
              <w:left w:val="single" w:color="auto" w:sz="4" w:space="0"/>
              <w:bottom w:val="single" w:color="auto" w:sz="4" w:space="0"/>
              <w:right w:val="single" w:color="auto" w:sz="4" w:space="0"/>
            </w:tcBorders>
            <w:vAlign w:val="center"/>
          </w:tcPr>
          <w:p w14:paraId="4AAF95D1">
            <w:pPr>
              <w:keepNext w:val="0"/>
              <w:keepLines w:val="0"/>
              <w:pageBreakBefore w:val="0"/>
              <w:widowControl/>
              <w:kinsoku/>
              <w:wordWrap/>
              <w:overflowPunct/>
              <w:topLinePunct w:val="0"/>
              <w:autoSpaceDE/>
              <w:autoSpaceDN/>
              <w:bidi w:val="0"/>
              <w:adjustRightInd/>
              <w:snapToGrid/>
              <w:spacing w:after="0" w:line="360" w:lineRule="exact"/>
              <w:ind w:firstLine="0" w:firstLineChars="0"/>
              <w:jc w:val="center"/>
              <w:textAlignment w:val="auto"/>
              <w:rPr>
                <w:color w:val="000000" w:themeColor="text1"/>
                <w:sz w:val="21"/>
                <w:szCs w:val="21"/>
                <w14:textFill>
                  <w14:solidFill>
                    <w14:schemeClr w14:val="tx1"/>
                  </w14:solidFill>
                </w14:textFill>
              </w:rPr>
            </w:pPr>
          </w:p>
        </w:tc>
        <w:tc>
          <w:tcPr>
            <w:tcW w:w="630" w:type="pct"/>
            <w:tcBorders>
              <w:top w:val="single" w:color="auto" w:sz="4" w:space="0"/>
              <w:left w:val="single" w:color="auto" w:sz="4" w:space="0"/>
              <w:bottom w:val="single" w:color="auto" w:sz="4" w:space="0"/>
              <w:right w:val="single" w:color="auto" w:sz="4" w:space="0"/>
            </w:tcBorders>
            <w:shd w:val="clear" w:color="auto" w:fill="auto"/>
            <w:vAlign w:val="center"/>
          </w:tcPr>
          <w:p w14:paraId="7380CED7">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私家车停车场（露天）</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4FF3B44C">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21</w:t>
            </w:r>
          </w:p>
        </w:tc>
        <w:tc>
          <w:tcPr>
            <w:tcW w:w="632" w:type="pct"/>
            <w:tcBorders>
              <w:top w:val="single" w:color="auto" w:sz="4" w:space="0"/>
              <w:left w:val="single" w:color="auto" w:sz="4" w:space="0"/>
              <w:bottom w:val="single" w:color="auto" w:sz="4" w:space="0"/>
              <w:right w:val="single" w:color="auto" w:sz="4" w:space="0"/>
            </w:tcBorders>
            <w:shd w:val="clear" w:color="auto" w:fill="auto"/>
            <w:vAlign w:val="center"/>
          </w:tcPr>
          <w:p w14:paraId="5EA647A8">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6</w:t>
            </w:r>
          </w:p>
        </w:tc>
        <w:tc>
          <w:tcPr>
            <w:tcW w:w="1028" w:type="pct"/>
            <w:tcBorders>
              <w:top w:val="single" w:color="auto" w:sz="4" w:space="0"/>
              <w:left w:val="single" w:color="auto" w:sz="4" w:space="0"/>
              <w:bottom w:val="single" w:color="auto" w:sz="4" w:space="0"/>
              <w:right w:val="single" w:color="auto" w:sz="4" w:space="0"/>
            </w:tcBorders>
            <w:shd w:val="clear" w:color="auto" w:fill="auto"/>
            <w:vAlign w:val="center"/>
          </w:tcPr>
          <w:p w14:paraId="7EF07FD2">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ascii="Calibri" w:hAnsi="Calibri"/>
                <w:color w:val="000000" w:themeColor="text1"/>
                <w:sz w:val="21"/>
                <w:szCs w:val="21"/>
                <w14:textFill>
                  <w14:solidFill>
                    <w14:schemeClr w14:val="tx1"/>
                  </w14:solidFill>
                </w14:textFill>
              </w:rPr>
            </w:pPr>
            <w:r>
              <w:rPr>
                <w:rFonts w:ascii="Calibri" w:hAnsi="Calibri"/>
                <w:color w:val="000000" w:themeColor="text1"/>
                <w:sz w:val="21"/>
                <w:szCs w:val="21"/>
                <w14:textFill>
                  <w14:solidFill>
                    <w14:schemeClr w14:val="tx1"/>
                  </w14:solidFill>
                </w14:textFill>
              </w:rPr>
              <w:t>《汽车库、修车库、停车场设计防火规范》GB50067-2014</w:t>
            </w:r>
          </w:p>
          <w:p w14:paraId="0533E1A3">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第4.2.5条</w:t>
            </w:r>
          </w:p>
        </w:tc>
        <w:tc>
          <w:tcPr>
            <w:tcW w:w="395" w:type="pct"/>
            <w:tcBorders>
              <w:top w:val="single" w:color="auto" w:sz="4" w:space="0"/>
              <w:left w:val="single" w:color="auto" w:sz="4" w:space="0"/>
              <w:bottom w:val="single" w:color="auto" w:sz="4" w:space="0"/>
              <w:right w:val="single" w:color="auto" w:sz="4" w:space="0"/>
            </w:tcBorders>
            <w:shd w:val="clear" w:color="auto" w:fill="auto"/>
            <w:vAlign w:val="center"/>
          </w:tcPr>
          <w:p w14:paraId="0BB2D061">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是</w:t>
            </w:r>
          </w:p>
        </w:tc>
        <w:tc>
          <w:tcPr>
            <w:tcW w:w="1130" w:type="pct"/>
            <w:tcBorders>
              <w:top w:val="single" w:color="auto" w:sz="4" w:space="0"/>
              <w:left w:val="single" w:color="auto" w:sz="4" w:space="0"/>
              <w:bottom w:val="single" w:color="auto" w:sz="4" w:space="0"/>
              <w:right w:val="single" w:color="auto" w:sz="4" w:space="0"/>
            </w:tcBorders>
            <w:shd w:val="clear" w:color="auto" w:fill="auto"/>
            <w:vAlign w:val="center"/>
          </w:tcPr>
          <w:p w14:paraId="638C676A">
            <w:pPr>
              <w:keepNext w:val="0"/>
              <w:keepLines w:val="0"/>
              <w:pageBreakBefore w:val="0"/>
              <w:widowControl/>
              <w:kinsoku/>
              <w:wordWrap/>
              <w:overflowPunct/>
              <w:topLinePunct w:val="0"/>
              <w:autoSpaceDE/>
              <w:autoSpaceDN/>
              <w:bidi w:val="0"/>
              <w:adjustRightInd/>
              <w:snapToGrid/>
              <w:spacing w:after="0" w:line="360" w:lineRule="exact"/>
              <w:jc w:val="center"/>
              <w:textAlignment w:val="auto"/>
              <w:rPr>
                <w:rFonts w:hint="default" w:ascii="Calibri" w:hAnsi="Calibri" w:eastAsia="宋体" w:cs="Times New Roman"/>
                <w:color w:val="000000" w:themeColor="text1"/>
                <w:kern w:val="0"/>
                <w:sz w:val="21"/>
                <w:szCs w:val="21"/>
                <w:lang w:val="en-US" w:eastAsia="zh-CN" w:bidi="ar-SA"/>
                <w14:textFill>
                  <w14:solidFill>
                    <w14:schemeClr w14:val="tx1"/>
                  </w14:solidFill>
                </w14:textFill>
              </w:rPr>
            </w:pPr>
            <w:r>
              <w:rPr>
                <w:rFonts w:ascii="Calibri" w:hAnsi="Calibri"/>
                <w:color w:val="000000" w:themeColor="text1"/>
                <w:sz w:val="21"/>
                <w:szCs w:val="21"/>
                <w14:textFill>
                  <w14:solidFill>
                    <w14:schemeClr w14:val="tx1"/>
                  </w14:solidFill>
                </w14:textFill>
              </w:rPr>
              <w:t>守卫室至私家停车场外墙</w:t>
            </w:r>
          </w:p>
        </w:tc>
      </w:tr>
    </w:tbl>
    <w:p w14:paraId="106D563A">
      <w:pPr>
        <w:pStyle w:val="3"/>
        <w:keepNext/>
        <w:keepLines/>
        <w:pageBreakBefore w:val="0"/>
        <w:widowControl/>
        <w:kinsoku/>
        <w:wordWrap/>
        <w:overflowPunct/>
        <w:topLinePunct w:val="0"/>
        <w:autoSpaceDE/>
        <w:autoSpaceDN/>
        <w:bidi w:val="0"/>
        <w:adjustRightInd/>
        <w:snapToGrid/>
        <w:spacing w:before="0" w:after="0" w:line="416" w:lineRule="auto"/>
        <w:ind w:firstLine="0" w:firstLineChars="0"/>
        <w:jc w:val="left"/>
        <w:textAlignment w:val="auto"/>
        <w:rPr>
          <w:rFonts w:hint="eastAsia" w:ascii="黑体" w:hAnsi="宋体" w:eastAsia="黑体" w:cstheme="majorBidi"/>
          <w:b/>
          <w:bCs/>
          <w:kern w:val="0"/>
          <w:sz w:val="21"/>
          <w:szCs w:val="21"/>
        </w:rPr>
      </w:pPr>
      <w:bookmarkStart w:id="128" w:name="_Toc25931"/>
      <w:bookmarkStart w:id="129" w:name="_Toc15202"/>
      <w:bookmarkStart w:id="130" w:name="_Toc9419"/>
      <w:r>
        <w:rPr>
          <w:rFonts w:hint="eastAsia" w:ascii="黑体" w:hAnsi="宋体" w:eastAsia="黑体" w:cstheme="majorBidi"/>
          <w:kern w:val="0"/>
          <w:sz w:val="21"/>
          <w:szCs w:val="21"/>
          <w:lang w:val="en-US" w:eastAsia="zh-CN"/>
        </w:rPr>
        <w:t>8.3.2厂区周边情况</w:t>
      </w:r>
      <w:bookmarkEnd w:id="128"/>
      <w:bookmarkEnd w:id="129"/>
      <w:bookmarkEnd w:id="130"/>
    </w:p>
    <w:p w14:paraId="7A03AF1E">
      <w:pPr>
        <w:spacing w:after="0" w:line="360" w:lineRule="exact"/>
        <w:ind w:firstLine="420" w:firstLineChars="200"/>
        <w:rPr>
          <w:rFonts w:hint="eastAsia" w:ascii="宋体" w:hAnsi="宋体"/>
          <w:color w:val="auto"/>
          <w:kern w:val="0"/>
          <w:sz w:val="21"/>
          <w:szCs w:val="21"/>
        </w:rPr>
      </w:pPr>
      <w:r>
        <w:rPr>
          <w:rFonts w:hint="eastAsia" w:ascii="宋体" w:hAnsi="宋体"/>
          <w:color w:val="auto"/>
          <w:kern w:val="0"/>
          <w:sz w:val="21"/>
          <w:szCs w:val="21"/>
        </w:rPr>
        <w:t>青岛石化公司位于山东省青岛市李沧区滨海路8号，邻近胶州湾，企业的周边环境北侧围墙外为滨海路、隔滨海路是</w:t>
      </w:r>
      <w:r>
        <w:rPr>
          <w:rFonts w:hint="eastAsia"/>
          <w:color w:val="000000" w:themeColor="text1"/>
          <w:sz w:val="21"/>
          <w:szCs w:val="21"/>
          <w14:textFill>
            <w14:solidFill>
              <w14:schemeClr w14:val="tx1"/>
            </w14:solidFill>
          </w14:textFill>
        </w:rPr>
        <w:t>南渠工业</w:t>
      </w:r>
      <w:r>
        <w:rPr>
          <w:rFonts w:hint="eastAsia"/>
          <w:color w:val="000000" w:themeColor="text1"/>
          <w:sz w:val="21"/>
          <w:szCs w:val="21"/>
          <w:lang w:val="en-US" w:eastAsia="zh-CN"/>
          <w14:textFill>
            <w14:solidFill>
              <w14:schemeClr w14:val="tx1"/>
            </w14:solidFill>
          </w14:textFill>
        </w:rPr>
        <w:t>园</w:t>
      </w:r>
      <w:r>
        <w:rPr>
          <w:rFonts w:hint="eastAsia" w:ascii="宋体" w:hAnsi="宋体"/>
          <w:color w:val="auto"/>
          <w:kern w:val="0"/>
          <w:sz w:val="21"/>
          <w:szCs w:val="21"/>
        </w:rPr>
        <w:t>；西侧围墙外为环厂路，环厂路外是绿化带，绿化带外是青岛市环湾路；南侧围墙外为环厂路，环厂路外是绿化带，绿化带外是娄山河入海口，东侧围墙外是环厂路，环厂路外是</w:t>
      </w:r>
      <w:r>
        <w:rPr>
          <w:rFonts w:hint="eastAsia" w:ascii="宋体" w:hAnsi="宋体"/>
          <w:kern w:val="0"/>
          <w:sz w:val="21"/>
          <w:szCs w:val="21"/>
          <w:lang w:val="en-US" w:eastAsia="zh-CN"/>
        </w:rPr>
        <w:t>楼山</w:t>
      </w:r>
      <w:r>
        <w:rPr>
          <w:rFonts w:hint="eastAsia" w:ascii="宋体" w:hAnsi="宋体"/>
          <w:color w:val="auto"/>
          <w:kern w:val="0"/>
          <w:sz w:val="21"/>
          <w:szCs w:val="21"/>
        </w:rPr>
        <w:t>河，弯头河外为恒基水泥厂。厂区与周边环境防火间距符合《石油化工企业设计防火标准》（GB50160-2008，2018年版）的要求。</w:t>
      </w:r>
    </w:p>
    <w:p w14:paraId="13C7BC48">
      <w:pPr>
        <w:spacing w:after="0" w:line="360" w:lineRule="exact"/>
        <w:ind w:firstLine="420" w:firstLineChars="200"/>
        <w:rPr>
          <w:rFonts w:hint="eastAsia" w:ascii="宋体" w:hAnsi="宋体"/>
          <w:color w:val="auto"/>
          <w:kern w:val="0"/>
          <w:sz w:val="21"/>
          <w:szCs w:val="21"/>
        </w:rPr>
      </w:pPr>
      <w:r>
        <w:rPr>
          <w:rFonts w:hint="eastAsia" w:ascii="宋体" w:hAnsi="宋体"/>
          <w:color w:val="auto"/>
          <w:kern w:val="0"/>
          <w:sz w:val="21"/>
          <w:szCs w:val="21"/>
        </w:rPr>
        <w:t>企业西侧是环湾路，企业距离环湾路最近的生产装置为硫磺回收装置约74m，最近的轻油储罐约61m，气柜距环湾路约58m，企业的生产装置和储罐区若因操作不当或其他原因发生较小的生产事故和少量的泄漏事故，对外界不会有大的影响；若发生较大的生产事故和较大的油品泄漏事故，泄漏的油气飘到环湾路上，运行的车辆是流动的点火源，就可能引发火灾和爆炸事故，造成车辆损坏，人员伤亡，影响道路的正常通行。由于企业生产装置的自动化程度较高，采用的生产工艺为成熟的工艺技术，且是目前石化企业普遍采用的工艺技术；设备选用满足规范的要求，材质按工艺要求选用，装置和储罐区均设有可燃气体和有毒气体检测报警装置，以及生产装置重点部位及储罐区设置有电视监控系统，操作人员都是经过技术培训和安全教育合格后上岗，生产装置的生产和储罐区的生产运行还采取了一系列的安全保障措施，只要企业严格管理，操作人员不违章操作，安全设施加强维护保养，使其时刻处于完好适用状态，企业的安全生产是有保障的，事故的发生机率是较小的。</w:t>
      </w:r>
    </w:p>
    <w:p w14:paraId="34FB7885">
      <w:pPr>
        <w:spacing w:after="0" w:line="360" w:lineRule="exact"/>
        <w:ind w:firstLine="420" w:firstLineChars="200"/>
        <w:rPr>
          <w:rFonts w:hint="eastAsia" w:ascii="宋体" w:hAnsi="宋体"/>
          <w:color w:val="auto"/>
          <w:kern w:val="0"/>
          <w:sz w:val="21"/>
          <w:szCs w:val="21"/>
        </w:rPr>
      </w:pPr>
      <w:r>
        <w:rPr>
          <w:rFonts w:hint="eastAsia" w:ascii="宋体" w:hAnsi="宋体"/>
          <w:color w:val="auto"/>
          <w:kern w:val="0"/>
          <w:sz w:val="21"/>
          <w:szCs w:val="21"/>
        </w:rPr>
        <w:t>为了做好事故防范，做到防患于未然，企业已编制实施了危险化学品泄漏事故应急预案，发生事故时企业应及时告知政府等周边企业，与他们搞好联动协防，能及时迅速启动预案，与政府和周边的单位及时联动协防做好防范，采取强有力的防范措施，疏散人员和车辆，事故的危害是可控的。</w:t>
      </w:r>
    </w:p>
    <w:p w14:paraId="537E0045">
      <w:pPr>
        <w:spacing w:after="0" w:line="360" w:lineRule="exact"/>
        <w:ind w:firstLine="420" w:firstLineChars="200"/>
        <w:rPr>
          <w:rFonts w:hint="eastAsia" w:ascii="宋体" w:hAnsi="宋体"/>
          <w:color w:val="auto"/>
          <w:kern w:val="0"/>
          <w:sz w:val="21"/>
          <w:szCs w:val="21"/>
        </w:rPr>
      </w:pPr>
      <w:r>
        <w:rPr>
          <w:rFonts w:hint="eastAsia" w:ascii="宋体" w:hAnsi="宋体"/>
          <w:color w:val="auto"/>
          <w:kern w:val="0"/>
          <w:sz w:val="21"/>
          <w:szCs w:val="21"/>
        </w:rPr>
        <w:t>企业厂址及其周边除厂西和西南临近环胶州湾高速市区段的环湾路和厂区北侧企业产品东区运输通道滨海路外，900米范围内无居住区以及商业中心、公园等人员密集场所；无学校、医院、影剧院、体育场（馆）等公共设施；无饮用水源、水厂以及水源保护区；无车站、码头（依法经许可从事危险化学品装卸作业的除外）、机场以及通信干线、通信枢纽、铁路线路、水路交通干线、地铁风亭以及地铁站出入口；无基本农田保护区、基本草原、畜禽遗传资源保护区、畜禽规模化养殖场（养殖小区）、渔业水域以及种子、种畜禽、水产苗种生产基地；无河流、湖泊、风景名胜区、自然保护区；无军事禁区、军事管理区；无法律、行政法规规定的其他场所、设施、区域。厂区西南侧外的环湾路是一条出市区的道路交通干线；厂区东侧和南侧的河流为季节排雨水河，其与企业的防火间距满足规范的规定和要求。厂址位置符合《危险化学品管理条例》第十九条及其他国家法律、法规的规定和要求。</w:t>
      </w:r>
    </w:p>
    <w:p w14:paraId="5D655539">
      <w:pPr>
        <w:spacing w:after="0" w:line="360" w:lineRule="exact"/>
        <w:ind w:firstLine="420" w:firstLineChars="200"/>
        <w:rPr>
          <w:rFonts w:hint="eastAsia" w:ascii="宋体" w:hAnsi="宋体"/>
          <w:sz w:val="21"/>
          <w:szCs w:val="21"/>
        </w:rPr>
      </w:pPr>
      <w:r>
        <w:rPr>
          <w:rFonts w:hint="eastAsia" w:ascii="宋体" w:hAnsi="宋体"/>
          <w:color w:val="auto"/>
          <w:kern w:val="0"/>
          <w:sz w:val="21"/>
          <w:szCs w:val="21"/>
        </w:rPr>
        <w:t>青岛石化公司是一个有1</w:t>
      </w:r>
      <w:r>
        <w:rPr>
          <w:rFonts w:hint="eastAsia" w:ascii="宋体" w:hAnsi="宋体"/>
          <w:color w:val="auto"/>
          <w:kern w:val="0"/>
          <w:sz w:val="21"/>
          <w:szCs w:val="21"/>
          <w:lang w:eastAsia="zh-CN"/>
        </w:rPr>
        <w:t>8</w:t>
      </w:r>
      <w:r>
        <w:rPr>
          <w:rFonts w:hint="eastAsia" w:ascii="宋体" w:hAnsi="宋体"/>
          <w:color w:val="auto"/>
          <w:kern w:val="0"/>
          <w:sz w:val="21"/>
          <w:szCs w:val="21"/>
        </w:rPr>
        <w:t>套石油化工生产装置的石油化工企业，火灾爆炸危险性为甲类，且生产过程中使用的原料及产品具有易燃易爆、有毒有害、腐蚀特性，在操作失误或条件失控的情况下可能发生火灾、爆炸及中毒等事故。事故若不能在短时间内得到有效控制，蔓延失控可能危害厂区周围的设施、人员和周边企业。企业在制定应急预案时，已制定了相应的预案和防范措施，把对周边企业影响的风险值降至最低。由于周边没有集中居住的居民区，附近的村庄已在几年前城市整体规划时已搬迁，不会对居民造成影响。因此，企业发生事故可能对周边造成影响的风险是可以接受的。</w:t>
      </w:r>
    </w:p>
    <w:p w14:paraId="18FA2EBD">
      <w:pPr>
        <w:spacing w:before="91" w:line="218" w:lineRule="auto"/>
        <w:ind w:left="51"/>
        <w:rPr>
          <w:rFonts w:hint="eastAsia" w:ascii="华文中宋" w:hAnsi="华文中宋" w:eastAsia="华文中宋" w:cs="华文中宋"/>
          <w:sz w:val="24"/>
          <w:szCs w:val="24"/>
          <w:lang w:val="en-US" w:eastAsia="zh-CN"/>
        </w:rPr>
      </w:pPr>
      <w:r>
        <w:rPr>
          <w:rFonts w:hint="eastAsia" w:ascii="华文中宋" w:hAnsi="华文中宋" w:eastAsia="华文中宋" w:cs="华文中宋"/>
          <w:spacing w:val="-15"/>
          <w:sz w:val="24"/>
          <w:szCs w:val="24"/>
        </w:rPr>
        <w:t>附件</w:t>
      </w:r>
      <w:r>
        <w:rPr>
          <w:rFonts w:hint="eastAsia" w:ascii="华文中宋" w:hAnsi="华文中宋" w:eastAsia="华文中宋" w:cs="华文中宋"/>
          <w:spacing w:val="-15"/>
          <w:sz w:val="24"/>
          <w:szCs w:val="24"/>
          <w:lang w:val="en-US" w:eastAsia="zh-CN"/>
        </w:rPr>
        <w:t>4</w:t>
      </w:r>
    </w:p>
    <w:p w14:paraId="7A98CA10">
      <w:pPr>
        <w:spacing w:before="101" w:line="223" w:lineRule="auto"/>
        <w:ind w:left="45"/>
        <w:jc w:val="center"/>
        <w:rPr>
          <w:rFonts w:hint="eastAsia" w:ascii="华文中宋" w:hAnsi="华文中宋" w:eastAsia="华文中宋" w:cs="华文中宋"/>
          <w:spacing w:val="7"/>
          <w:sz w:val="32"/>
          <w:szCs w:val="32"/>
          <w:lang w:val="en-US" w:eastAsia="zh-CN"/>
        </w:rPr>
      </w:pPr>
      <w:r>
        <w:rPr>
          <w:rFonts w:hint="eastAsia" w:ascii="华文中宋" w:hAnsi="华文中宋" w:eastAsia="华文中宋" w:cs="华文中宋"/>
          <w:spacing w:val="7"/>
          <w:sz w:val="32"/>
          <w:szCs w:val="32"/>
          <w:lang w:val="en-US" w:eastAsia="zh-CN"/>
        </w:rPr>
        <w:t>定量风险评估</w:t>
      </w:r>
    </w:p>
    <w:p w14:paraId="02E66084">
      <w:pPr>
        <w:pStyle w:val="3"/>
        <w:spacing w:after="0"/>
        <w:ind w:firstLine="422" w:firstLineChars="200"/>
        <w:rPr>
          <w:rFonts w:hint="eastAsia" w:ascii="黑体" w:hAnsi="宋体" w:eastAsia="黑体"/>
          <w:b/>
          <w:color w:val="000000" w:themeColor="text1"/>
          <w:sz w:val="21"/>
          <w:szCs w:val="21"/>
          <w14:textFill>
            <w14:solidFill>
              <w14:schemeClr w14:val="tx1"/>
            </w14:solidFill>
          </w14:textFill>
        </w:rPr>
      </w:pPr>
      <w:bookmarkStart w:id="131" w:name="_Toc12626"/>
      <w:bookmarkStart w:id="132" w:name="_Toc10315"/>
      <w:bookmarkStart w:id="133" w:name="_Toc28279"/>
      <w:r>
        <w:rPr>
          <w:rFonts w:hint="eastAsia" w:ascii="黑体" w:hAnsi="宋体" w:eastAsia="黑体"/>
          <w:b/>
          <w:color w:val="000000" w:themeColor="text1"/>
          <w:sz w:val="21"/>
          <w:szCs w:val="21"/>
          <w14:textFill>
            <w14:solidFill>
              <w14:schemeClr w14:val="tx1"/>
            </w14:solidFill>
          </w14:textFill>
        </w:rPr>
        <w:t>社会风险计算结果</w:t>
      </w:r>
      <w:bookmarkEnd w:id="131"/>
      <w:bookmarkEnd w:id="132"/>
      <w:bookmarkEnd w:id="133"/>
    </w:p>
    <w:p w14:paraId="2123C72B">
      <w:pPr>
        <w:spacing w:after="0" w:line="360" w:lineRule="exact"/>
        <w:ind w:firstLine="420" w:firstLineChars="200"/>
        <w:rPr>
          <w:rFonts w:hint="eastAsia" w:ascii="宋体" w:hAnsi="宋体"/>
          <w:color w:val="auto"/>
          <w:sz w:val="21"/>
          <w:szCs w:val="21"/>
        </w:rPr>
      </w:pPr>
      <w:r>
        <w:rPr>
          <w:rFonts w:hint="eastAsia" w:ascii="宋体" w:hAnsi="宋体"/>
          <w:color w:val="auto"/>
          <w:sz w:val="21"/>
          <w:szCs w:val="21"/>
        </w:rPr>
        <w:t>对于青岛石化公司的社会风险，采用F/N曲线的形式表征，图</w:t>
      </w:r>
      <w:r>
        <w:rPr>
          <w:rFonts w:hint="eastAsia" w:ascii="宋体" w:hAnsi="宋体"/>
          <w:sz w:val="21"/>
          <w:szCs w:val="21"/>
          <w:lang w:eastAsia="zh-CN"/>
        </w:rPr>
        <w:t>8</w:t>
      </w:r>
      <w:r>
        <w:rPr>
          <w:rFonts w:hint="eastAsia" w:ascii="宋体" w:hAnsi="宋体"/>
          <w:color w:val="auto"/>
          <w:sz w:val="21"/>
          <w:szCs w:val="21"/>
        </w:rPr>
        <w:t>.</w:t>
      </w:r>
      <w:r>
        <w:rPr>
          <w:rFonts w:hint="eastAsia" w:ascii="宋体" w:hAnsi="宋体"/>
          <w:sz w:val="21"/>
          <w:szCs w:val="21"/>
          <w:lang w:eastAsia="zh-CN"/>
        </w:rPr>
        <w:t>4</w:t>
      </w:r>
      <w:r>
        <w:rPr>
          <w:rFonts w:hint="eastAsia" w:ascii="宋体" w:hAnsi="宋体"/>
          <w:color w:val="auto"/>
          <w:sz w:val="21"/>
          <w:szCs w:val="21"/>
        </w:rPr>
        <w:t>-</w:t>
      </w:r>
      <w:r>
        <w:rPr>
          <w:rFonts w:hint="eastAsia" w:ascii="宋体" w:hAnsi="宋体"/>
          <w:sz w:val="21"/>
          <w:szCs w:val="21"/>
          <w:lang w:eastAsia="zh-CN"/>
        </w:rPr>
        <w:t>1</w:t>
      </w:r>
      <w:r>
        <w:rPr>
          <w:rFonts w:hint="eastAsia" w:ascii="宋体" w:hAnsi="宋体"/>
          <w:color w:val="auto"/>
          <w:sz w:val="21"/>
          <w:szCs w:val="21"/>
        </w:rPr>
        <w:t>为青岛石化公司社会风险F/N曲线。</w:t>
      </w:r>
    </w:p>
    <w:p w14:paraId="72A1F4D6">
      <w:pPr>
        <w:spacing w:after="0" w:line="360" w:lineRule="exact"/>
        <w:ind w:firstLine="420" w:firstLineChars="200"/>
        <w:rPr>
          <w:rFonts w:hint="eastAsia" w:ascii="宋体" w:hAnsi="宋体"/>
          <w:color w:val="auto"/>
          <w:sz w:val="21"/>
          <w:szCs w:val="21"/>
        </w:rPr>
      </w:pPr>
    </w:p>
    <w:p w14:paraId="3786B6E2">
      <w:pPr>
        <w:spacing w:after="0" w:line="360" w:lineRule="exact"/>
        <w:ind w:firstLine="480" w:firstLineChars="200"/>
        <w:rPr>
          <w:rFonts w:hint="eastAsia" w:ascii="宋体" w:hAnsi="宋体"/>
          <w:color w:val="auto"/>
          <w:sz w:val="21"/>
          <w:szCs w:val="21"/>
        </w:rPr>
      </w:pPr>
      <w:r>
        <w:rPr>
          <w:rFonts w:ascii="宋体" w:hAnsi="宋体" w:cs="宋体"/>
          <w:color w:val="000000" w:themeColor="text1"/>
          <w:kern w:val="0"/>
          <w:sz w:val="24"/>
          <w14:textFill>
            <w14:solidFill>
              <w14:schemeClr w14:val="tx1"/>
            </w14:solidFill>
          </w14:textFill>
        </w:rPr>
        <w:drawing>
          <wp:anchor distT="0" distB="0" distL="0" distR="0" simplePos="0" relativeHeight="251660288" behindDoc="0" locked="0" layoutInCell="1" allowOverlap="1">
            <wp:simplePos x="0" y="0"/>
            <wp:positionH relativeFrom="column">
              <wp:posOffset>97790</wp:posOffset>
            </wp:positionH>
            <wp:positionV relativeFrom="paragraph">
              <wp:posOffset>24765</wp:posOffset>
            </wp:positionV>
            <wp:extent cx="5302250" cy="2674620"/>
            <wp:effectExtent l="0" t="0" r="12700" b="1143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02250" cy="2679334"/>
                    </a:xfrm>
                    <a:prstGeom prst="rect">
                      <a:avLst/>
                    </a:prstGeom>
                    <a:noFill/>
                    <a:ln>
                      <a:noFill/>
                    </a:ln>
                  </pic:spPr>
                </pic:pic>
              </a:graphicData>
            </a:graphic>
          </wp:anchor>
        </w:drawing>
      </w:r>
    </w:p>
    <w:p w14:paraId="241CD059">
      <w:pPr>
        <w:spacing w:after="0" w:line="360" w:lineRule="exact"/>
        <w:ind w:firstLine="420" w:firstLineChars="200"/>
        <w:rPr>
          <w:rFonts w:hint="eastAsia" w:ascii="宋体" w:hAnsi="宋体"/>
          <w:color w:val="auto"/>
          <w:sz w:val="21"/>
          <w:szCs w:val="21"/>
        </w:rPr>
      </w:pPr>
    </w:p>
    <w:p w14:paraId="786B04A4">
      <w:pPr>
        <w:spacing w:after="0" w:line="360" w:lineRule="exact"/>
        <w:ind w:firstLine="420" w:firstLineChars="200"/>
        <w:rPr>
          <w:rFonts w:hint="eastAsia" w:ascii="宋体" w:hAnsi="宋体"/>
          <w:color w:val="auto"/>
          <w:sz w:val="21"/>
          <w:szCs w:val="21"/>
        </w:rPr>
      </w:pPr>
    </w:p>
    <w:p w14:paraId="7FF6F210">
      <w:pPr>
        <w:spacing w:after="0" w:line="360" w:lineRule="exact"/>
        <w:ind w:firstLine="420" w:firstLineChars="200"/>
        <w:rPr>
          <w:rFonts w:hint="eastAsia" w:ascii="宋体" w:hAnsi="宋体"/>
          <w:color w:val="auto"/>
          <w:sz w:val="21"/>
          <w:szCs w:val="21"/>
        </w:rPr>
      </w:pPr>
    </w:p>
    <w:p w14:paraId="30F33116">
      <w:pPr>
        <w:spacing w:after="0" w:line="360" w:lineRule="exact"/>
        <w:ind w:firstLine="420" w:firstLineChars="200"/>
        <w:rPr>
          <w:rFonts w:hint="eastAsia" w:ascii="宋体" w:hAnsi="宋体"/>
          <w:color w:val="auto"/>
          <w:sz w:val="21"/>
          <w:szCs w:val="21"/>
        </w:rPr>
      </w:pPr>
    </w:p>
    <w:p w14:paraId="418B8FEE">
      <w:pPr>
        <w:spacing w:after="0" w:line="360" w:lineRule="exact"/>
        <w:ind w:firstLine="420" w:firstLineChars="200"/>
        <w:rPr>
          <w:rFonts w:hint="eastAsia" w:ascii="宋体" w:hAnsi="宋体"/>
          <w:color w:val="auto"/>
          <w:sz w:val="21"/>
          <w:szCs w:val="21"/>
        </w:rPr>
      </w:pPr>
    </w:p>
    <w:p w14:paraId="68E42446">
      <w:pPr>
        <w:spacing w:after="0" w:line="360" w:lineRule="exact"/>
        <w:ind w:firstLine="420" w:firstLineChars="200"/>
        <w:rPr>
          <w:rFonts w:hint="eastAsia" w:ascii="宋体" w:hAnsi="宋体"/>
          <w:color w:val="auto"/>
          <w:sz w:val="21"/>
          <w:szCs w:val="21"/>
        </w:rPr>
      </w:pPr>
    </w:p>
    <w:p w14:paraId="0DF50E11">
      <w:pPr>
        <w:spacing w:after="0" w:line="360" w:lineRule="exact"/>
        <w:ind w:firstLine="420" w:firstLineChars="200"/>
        <w:rPr>
          <w:rFonts w:hint="eastAsia" w:ascii="宋体" w:hAnsi="宋体"/>
          <w:color w:val="auto"/>
          <w:sz w:val="21"/>
          <w:szCs w:val="21"/>
        </w:rPr>
      </w:pPr>
    </w:p>
    <w:p w14:paraId="1130C1D1">
      <w:pPr>
        <w:spacing w:after="0" w:line="360" w:lineRule="exact"/>
        <w:ind w:firstLine="420" w:firstLineChars="200"/>
        <w:rPr>
          <w:rFonts w:hint="eastAsia" w:ascii="宋体" w:hAnsi="宋体"/>
          <w:color w:val="auto"/>
          <w:sz w:val="21"/>
          <w:szCs w:val="21"/>
        </w:rPr>
      </w:pPr>
    </w:p>
    <w:p w14:paraId="02284AB8">
      <w:pPr>
        <w:spacing w:after="0" w:line="360" w:lineRule="exact"/>
        <w:ind w:firstLine="420" w:firstLineChars="200"/>
        <w:rPr>
          <w:rFonts w:hint="eastAsia" w:ascii="宋体" w:hAnsi="宋体"/>
          <w:color w:val="auto"/>
          <w:sz w:val="21"/>
          <w:szCs w:val="21"/>
        </w:rPr>
      </w:pPr>
    </w:p>
    <w:p w14:paraId="36D5FB55">
      <w:pPr>
        <w:spacing w:after="0" w:line="360" w:lineRule="exact"/>
        <w:ind w:firstLine="420" w:firstLineChars="200"/>
        <w:rPr>
          <w:rFonts w:hint="eastAsia" w:ascii="宋体" w:hAnsi="宋体"/>
          <w:color w:val="auto"/>
          <w:sz w:val="21"/>
          <w:szCs w:val="21"/>
        </w:rPr>
      </w:pPr>
    </w:p>
    <w:p w14:paraId="2EB55DED">
      <w:pPr>
        <w:widowControl/>
        <w:ind w:firstLine="480"/>
        <w:jc w:val="left"/>
        <w:rPr>
          <w:rFonts w:ascii="宋体" w:hAnsi="宋体" w:cs="宋体"/>
          <w:color w:val="000000" w:themeColor="text1"/>
          <w:kern w:val="0"/>
          <w:sz w:val="24"/>
          <w:highlight w:val="yellow"/>
          <w14:textFill>
            <w14:solidFill>
              <w14:schemeClr w14:val="tx1"/>
            </w14:solidFill>
          </w14:textFill>
        </w:rPr>
      </w:pPr>
    </w:p>
    <w:p w14:paraId="5354F310">
      <w:pPr>
        <w:spacing w:before="100" w:after="100" w:line="360" w:lineRule="exact"/>
        <w:ind w:firstLine="0"/>
        <w:jc w:val="center"/>
        <w:rPr>
          <w:rFonts w:hint="eastAsia" w:ascii="宋体" w:hAnsi="宋体" w:cs="宋体"/>
          <w:b/>
          <w:bCs/>
          <w:color w:val="auto"/>
          <w:sz w:val="21"/>
          <w:szCs w:val="21"/>
        </w:rPr>
      </w:pPr>
      <w:r>
        <w:rPr>
          <w:rFonts w:hint="eastAsia" w:ascii="宋体" w:hAnsi="宋体" w:cs="宋体"/>
          <w:b/>
          <w:bCs/>
          <w:color w:val="auto"/>
          <w:kern w:val="0"/>
          <w:sz w:val="21"/>
          <w:szCs w:val="21"/>
          <w:lang w:val="zh-CN"/>
        </w:rPr>
        <w:t>图</w:t>
      </w:r>
      <w:r>
        <w:rPr>
          <w:rFonts w:hint="eastAsia" w:ascii="宋体" w:hAnsi="宋体" w:cs="宋体"/>
          <w:b/>
          <w:bCs/>
          <w:color w:val="auto"/>
          <w:kern w:val="0"/>
          <w:sz w:val="21"/>
          <w:szCs w:val="21"/>
          <w:lang w:val="en-US" w:eastAsia="zh-CN"/>
        </w:rPr>
        <w:t>8</w:t>
      </w:r>
      <w:r>
        <w:rPr>
          <w:rFonts w:hint="eastAsia" w:ascii="宋体" w:hAnsi="宋体" w:cs="宋体"/>
          <w:b/>
          <w:bCs/>
          <w:color w:val="auto"/>
          <w:kern w:val="0"/>
          <w:sz w:val="21"/>
          <w:szCs w:val="21"/>
          <w:lang w:val="zh-CN"/>
        </w:rPr>
        <w:t>.</w:t>
      </w:r>
      <w:r>
        <w:rPr>
          <w:rFonts w:hint="eastAsia" w:ascii="宋体" w:hAnsi="宋体" w:cs="宋体"/>
          <w:b/>
          <w:bCs/>
          <w:color w:val="auto"/>
          <w:kern w:val="0"/>
          <w:sz w:val="21"/>
          <w:szCs w:val="21"/>
          <w:lang w:val="en-US" w:eastAsia="zh-CN"/>
        </w:rPr>
        <w:t>4</w:t>
      </w:r>
      <w:r>
        <w:rPr>
          <w:rFonts w:hint="eastAsia" w:ascii="宋体" w:hAnsi="宋体" w:cs="宋体"/>
          <w:b/>
          <w:bCs/>
          <w:color w:val="auto"/>
          <w:kern w:val="0"/>
          <w:sz w:val="21"/>
          <w:szCs w:val="21"/>
          <w:lang w:val="zh-CN"/>
        </w:rPr>
        <w:t>-</w:t>
      </w:r>
      <w:r>
        <w:rPr>
          <w:rFonts w:hint="eastAsia" w:ascii="宋体" w:hAnsi="宋体" w:cs="宋体"/>
          <w:b/>
          <w:bCs/>
          <w:color w:val="auto"/>
          <w:kern w:val="0"/>
          <w:sz w:val="21"/>
          <w:szCs w:val="21"/>
          <w:lang w:val="en-US" w:eastAsia="zh-CN"/>
        </w:rPr>
        <w:t>1</w:t>
      </w:r>
      <w:r>
        <w:rPr>
          <w:rFonts w:hint="eastAsia" w:ascii="宋体" w:hAnsi="宋体" w:cs="宋体"/>
          <w:b/>
          <w:bCs/>
          <w:color w:val="auto"/>
          <w:sz w:val="21"/>
          <w:szCs w:val="21"/>
        </w:rPr>
        <w:t>青岛石化公司厂区外</w:t>
      </w:r>
      <w:r>
        <w:rPr>
          <w:rFonts w:hint="eastAsia" w:ascii="宋体" w:hAnsi="宋体" w:cs="宋体"/>
          <w:b/>
          <w:bCs/>
          <w:color w:val="auto"/>
          <w:kern w:val="0"/>
          <w:sz w:val="21"/>
          <w:szCs w:val="21"/>
          <w:lang w:val="zh-CN"/>
        </w:rPr>
        <w:t>社会风险F/N曲线</w:t>
      </w:r>
    </w:p>
    <w:p w14:paraId="611BB732">
      <w:pPr>
        <w:pStyle w:val="3"/>
        <w:spacing w:after="0"/>
        <w:ind w:firstLine="422" w:firstLineChars="200"/>
        <w:rPr>
          <w:rFonts w:hint="eastAsia" w:ascii="黑体" w:hAnsi="宋体" w:eastAsia="黑体"/>
          <w:b/>
          <w:color w:val="000000" w:themeColor="text1"/>
          <w:sz w:val="21"/>
          <w:szCs w:val="21"/>
          <w14:textFill>
            <w14:solidFill>
              <w14:schemeClr w14:val="tx1"/>
            </w14:solidFill>
          </w14:textFill>
        </w:rPr>
      </w:pPr>
      <w:bookmarkStart w:id="134" w:name="_Toc9211"/>
      <w:bookmarkStart w:id="135" w:name="_Toc17800"/>
      <w:bookmarkStart w:id="136" w:name="_Toc21923"/>
      <w:r>
        <w:rPr>
          <w:rFonts w:hint="eastAsia" w:ascii="黑体" w:hAnsi="宋体" w:eastAsia="黑体"/>
          <w:b/>
          <w:color w:val="000000" w:themeColor="text1"/>
          <w:sz w:val="21"/>
          <w:szCs w:val="21"/>
          <w14:textFill>
            <w14:solidFill>
              <w14:schemeClr w14:val="tx1"/>
            </w14:solidFill>
          </w14:textFill>
        </w:rPr>
        <w:t>结果分析：</w:t>
      </w:r>
      <w:bookmarkEnd w:id="134"/>
      <w:bookmarkEnd w:id="135"/>
      <w:bookmarkEnd w:id="136"/>
    </w:p>
    <w:p w14:paraId="5B422C77">
      <w:pPr>
        <w:spacing w:after="0" w:line="360" w:lineRule="exact"/>
        <w:ind w:firstLine="420" w:firstLineChars="200"/>
        <w:rPr>
          <w:rFonts w:hint="eastAsia" w:ascii="宋体" w:hAnsi="宋体"/>
          <w:color w:val="auto"/>
          <w:sz w:val="21"/>
          <w:szCs w:val="21"/>
        </w:rPr>
      </w:pPr>
      <w:r>
        <w:rPr>
          <w:rFonts w:hint="eastAsia" w:ascii="宋体" w:hAnsi="宋体"/>
          <w:color w:val="auto"/>
          <w:sz w:val="21"/>
          <w:szCs w:val="21"/>
        </w:rPr>
        <w:t>青岛石化企业厂外的个人风险满足《危险化学品生产装置和储存设施风险基准》（GB36894-2018）的个人风险容许标准要求，其个人风险可接受。</w:t>
      </w:r>
    </w:p>
    <w:p w14:paraId="68916484">
      <w:pPr>
        <w:spacing w:after="0" w:line="360" w:lineRule="exact"/>
        <w:ind w:firstLine="420" w:firstLineChars="200"/>
        <w:rPr>
          <w:rFonts w:hint="eastAsia" w:ascii="宋体" w:hAnsi="宋体"/>
          <w:color w:val="auto"/>
          <w:sz w:val="21"/>
          <w:szCs w:val="21"/>
        </w:rPr>
      </w:pPr>
      <w:r>
        <w:rPr>
          <w:rFonts w:hint="eastAsia" w:ascii="宋体" w:hAnsi="宋体"/>
          <w:color w:val="auto"/>
          <w:sz w:val="21"/>
          <w:szCs w:val="21"/>
        </w:rPr>
        <w:t>结合社会风险标准中典型F/N曲线，对得到的青岛石化公司社会风险F/N曲线进行分析，从图中可以看出，青岛石化公司社会风险曲线落在尽可能降低区。通过社会风险敏感性分析可以看出，主要是球罐区和焦化装置发生的事故对西侧环湾路高密度行驶车辆以及人员的影响。企业应采取安全措施降低风险，对企业已采取的安全措施进行分析认为其满足要求，同时提出以下建议：</w:t>
      </w:r>
    </w:p>
    <w:p w14:paraId="32AB5FD0">
      <w:pPr>
        <w:spacing w:after="0" w:line="360" w:lineRule="exact"/>
        <w:ind w:firstLine="420" w:firstLineChars="200"/>
        <w:rPr>
          <w:rFonts w:hint="eastAsia" w:ascii="宋体" w:hAnsi="宋体"/>
          <w:color w:val="auto"/>
          <w:sz w:val="21"/>
          <w:szCs w:val="21"/>
        </w:rPr>
      </w:pPr>
      <w:r>
        <w:rPr>
          <w:rFonts w:hint="eastAsia" w:ascii="宋体" w:hAnsi="宋体"/>
          <w:color w:val="auto"/>
          <w:sz w:val="21"/>
          <w:szCs w:val="21"/>
        </w:rPr>
        <w:t>1、建议企业应加强对压力容器设备、管道设施等检验检测工作，特别是设备液位检测、压力检测、腐蚀检测、泄漏检测等，减少设备泄漏、破裂等恶性事故的发生概率；</w:t>
      </w:r>
    </w:p>
    <w:p w14:paraId="24AEB1C7">
      <w:pPr>
        <w:spacing w:after="0" w:line="360" w:lineRule="exact"/>
        <w:ind w:firstLine="420" w:firstLineChars="200"/>
        <w:rPr>
          <w:rFonts w:hint="eastAsia" w:ascii="宋体" w:hAnsi="宋体"/>
          <w:color w:val="auto"/>
          <w:sz w:val="21"/>
          <w:szCs w:val="21"/>
        </w:rPr>
      </w:pPr>
      <w:r>
        <w:rPr>
          <w:rFonts w:hint="eastAsia" w:ascii="宋体" w:hAnsi="宋体"/>
          <w:color w:val="auto"/>
          <w:sz w:val="21"/>
          <w:szCs w:val="21"/>
        </w:rPr>
        <w:t>2、建议企业应加强对安全设施进行定期检测，确保其完整好用，特别是紧急切断、消防应急设施、视频监控等仪表和设施，一旦发生泄漏及时发现、及时处置，降低事故发生概率和减小事故后果的影响；</w:t>
      </w:r>
    </w:p>
    <w:p w14:paraId="623AD100">
      <w:pPr>
        <w:spacing w:after="0" w:line="360" w:lineRule="exact"/>
        <w:ind w:firstLine="420" w:firstLineChars="200"/>
        <w:rPr>
          <w:rFonts w:hint="eastAsia" w:ascii="宋体" w:hAnsi="宋体"/>
          <w:sz w:val="21"/>
          <w:szCs w:val="21"/>
        </w:rPr>
      </w:pPr>
      <w:r>
        <w:rPr>
          <w:rFonts w:hint="eastAsia" w:ascii="宋体" w:hAnsi="宋体"/>
          <w:color w:val="auto"/>
          <w:sz w:val="21"/>
          <w:szCs w:val="21"/>
        </w:rPr>
        <w:t>3、建议企业完善相应的应急救援预案，企业应针对环湾路上车流量大等问题，做好当事故发生时对环湾路的交通管制，以及应急疏散预案工作，一旦发生大的火灾爆炸事故，应及时对周边人员进行疏散和道路交通管制。定期进行演练，根据演练情况不断进行修订改进，做到应急预案符合实际，针对性和可操作性强且简明易记易做，并应与地方政府相关部门的应急预案有效衔接。</w:t>
      </w:r>
    </w:p>
    <w:p w14:paraId="70C69D5F">
      <w:pPr>
        <w:spacing w:before="101" w:line="223" w:lineRule="auto"/>
        <w:ind w:left="45"/>
        <w:jc w:val="center"/>
        <w:rPr>
          <w:rFonts w:hint="eastAsia" w:ascii="黑体" w:hAnsi="黑体" w:eastAsia="黑体" w:cs="黑体"/>
          <w:spacing w:val="7"/>
          <w:sz w:val="31"/>
          <w:szCs w:val="31"/>
          <w:lang w:val="en-US" w:eastAsia="zh-CN"/>
        </w:rPr>
      </w:pPr>
    </w:p>
    <w:p w14:paraId="03251990">
      <w:pPr>
        <w:keepNext w:val="0"/>
        <w:keepLines w:val="0"/>
        <w:pageBreakBefore w:val="0"/>
        <w:widowControl/>
        <w:kinsoku/>
        <w:wordWrap/>
        <w:overflowPunct/>
        <w:topLinePunct w:val="0"/>
        <w:autoSpaceDE/>
        <w:autoSpaceDN/>
        <w:bidi w:val="0"/>
        <w:adjustRightInd/>
        <w:snapToGrid/>
        <w:spacing w:after="0" w:line="360" w:lineRule="exact"/>
        <w:ind w:firstLine="420" w:firstLineChars="200"/>
        <w:textAlignment w:val="auto"/>
        <w:rPr>
          <w:rFonts w:hint="eastAsia" w:ascii="宋体" w:hAnsi="宋体"/>
          <w:sz w:val="21"/>
          <w:szCs w:val="21"/>
          <w:lang w:val="en-US" w:eastAsia="zh-CN"/>
        </w:rPr>
      </w:pPr>
    </w:p>
    <w:sectPr>
      <w:footerReference r:id="rId8" w:type="default"/>
      <w:pgSz w:w="11906" w:h="16838"/>
      <w:pgMar w:top="1440" w:right="1803" w:bottom="1440" w:left="1803" w:header="851" w:footer="794"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等线 Light">
    <w:altName w:val="宋体"/>
    <w:panose1 w:val="02010600030101010101"/>
    <w:charset w:val="86"/>
    <w:family w:val="auto"/>
    <w:pitch w:val="default"/>
    <w:sig w:usb0="00000000" w:usb1="00000000" w:usb2="00000016" w:usb3="00000000" w:csb0="0004000F"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楷体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仿宋_GB2312">
    <w:panose1 w:val="02010609030101010101"/>
    <w:charset w:val="86"/>
    <w:family w:val="modern"/>
    <w:pitch w:val="default"/>
    <w:sig w:usb0="00000001" w:usb1="080E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 w:name="仿宋">
    <w:panose1 w:val="020B0502000000000001"/>
    <w:charset w:val="80"/>
    <w:family w:val="auto"/>
    <w:pitch w:val="default"/>
    <w:sig w:usb0="F7FFAEFF" w:usb1="DBDFFFFF" w:usb2="001FFDDF" w:usb3="00000000" w:csb0="600301FF" w:csb1="FFFF0000"/>
  </w:font>
  <w:font w:name="等线 Light">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等线">
    <w:altName w:val="Noto Sans CJK SC"/>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6295B">
    <w:pPr>
      <w:pStyle w:val="9"/>
      <w:jc w:val="center"/>
    </w:pPr>
  </w:p>
  <w:p w14:paraId="54FF16B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4099"/>
      <w:docPartObj>
        <w:docPartGallery w:val="autotext"/>
      </w:docPartObj>
    </w:sdtPr>
    <w:sdtContent>
      <w:p w14:paraId="088831A4">
        <w:pPr>
          <w:pStyle w:val="9"/>
          <w:jc w:val="center"/>
        </w:pPr>
      </w:p>
    </w:sdtContent>
  </w:sdt>
  <w:p w14:paraId="6F75AB8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FC27B">
    <w:pPr>
      <w:pStyle w:val="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FA674">
                          <w:pPr>
                            <w:pStyle w:val="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1FA674">
                    <w:pPr>
                      <w:pStyle w:val="9"/>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sdt>
      <w:sdtPr>
        <w:id w:val="147469359"/>
        <w:showingPlcHdr/>
        <w:docPartObj>
          <w:docPartGallery w:val="autotext"/>
        </w:docPartObj>
      </w:sdtPr>
      <w:sdtContent>
        <w:r>
          <w:rPr>
            <w:rFonts w:hint="eastAsia"/>
            <w:lang w:eastAsia="zh-CN"/>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8106B">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B42263"/>
    <w:multiLevelType w:val="multilevel"/>
    <w:tmpl w:val="30B42263"/>
    <w:lvl w:ilvl="0" w:tentative="0">
      <w:start w:val="1"/>
      <w:numFmt w:val="decimal"/>
      <w:pStyle w:val="28"/>
      <w:suff w:val="nothing"/>
      <w:lvlText w:val="%1."/>
      <w:lvlJc w:val="center"/>
      <w:pPr>
        <w:ind w:left="0" w:firstLine="0"/>
      </w:pPr>
      <w:rPr>
        <w:rFonts w:hint="default" w:ascii="Times New Roman" w:hAnsi="Times New Roman" w:cs="Times New Roman"/>
        <w:b w:val="0"/>
        <w:i w:val="0"/>
        <w:sz w:val="21"/>
        <w:szCs w:val="21"/>
      </w:rPr>
    </w:lvl>
    <w:lvl w:ilvl="1" w:tentative="0">
      <w:start w:val="10"/>
      <w:numFmt w:val="decimal"/>
      <w:suff w:val="space"/>
      <w:lvlText w:val="%1.%2"/>
      <w:lvlJc w:val="left"/>
      <w:pPr>
        <w:ind w:left="0" w:firstLine="0"/>
      </w:pPr>
      <w:rPr>
        <w:rFonts w:hint="eastAsia" w:ascii="Times New Roman" w:eastAsia="黑体"/>
        <w:b w:val="0"/>
        <w:i w:val="0"/>
        <w:sz w:val="28"/>
        <w:szCs w:val="28"/>
      </w:rPr>
    </w:lvl>
    <w:lvl w:ilvl="2" w:tentative="0">
      <w:start w:val="1"/>
      <w:numFmt w:val="decimal"/>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suff w:val="space"/>
      <w:lvlText w:val="%5)"/>
      <w:lvlJc w:val="left"/>
      <w:pPr>
        <w:ind w:left="0" w:firstLine="567"/>
      </w:pPr>
      <w:rPr>
        <w:rFonts w:hint="eastAsia" w:ascii="宋体" w:hAnsi="Times New Roman" w:eastAsia="宋体"/>
        <w:b w:val="0"/>
        <w:i w:val="0"/>
        <w:sz w:val="28"/>
        <w:szCs w:val="28"/>
      </w:rPr>
    </w:lvl>
    <w:lvl w:ilvl="5" w:tentative="0">
      <w:start w:val="1"/>
      <w:numFmt w:val="decimal"/>
      <w:suff w:val="space"/>
      <w:lvlText w:val="（%6）"/>
      <w:lvlJc w:val="left"/>
      <w:pPr>
        <w:ind w:left="0" w:firstLine="567"/>
      </w:pPr>
      <w:rPr>
        <w:rFonts w:hint="eastAsia" w:ascii="Times New Roman" w:hAnsi="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lvlText w:val="%1.%2.%3.%4.%5.%6.%7"/>
      <w:lvlJc w:val="left"/>
      <w:pPr>
        <w:tabs>
          <w:tab w:val="left" w:pos="715"/>
        </w:tabs>
        <w:ind w:left="715" w:hanging="1296"/>
      </w:pPr>
      <w:rPr>
        <w:rFonts w:hint="eastAsia"/>
      </w:rPr>
    </w:lvl>
    <w:lvl w:ilvl="7" w:tentative="0">
      <w:start w:val="1"/>
      <w:numFmt w:val="decimal"/>
      <w:lvlText w:val="%1.%2.%3.%4.%5.%6.%7.%8"/>
      <w:lvlJc w:val="left"/>
      <w:pPr>
        <w:tabs>
          <w:tab w:val="left" w:pos="859"/>
        </w:tabs>
        <w:ind w:left="859" w:hanging="1440"/>
      </w:pPr>
      <w:rPr>
        <w:rFonts w:hint="eastAsia"/>
      </w:rPr>
    </w:lvl>
    <w:lvl w:ilvl="8" w:tentative="0">
      <w:start w:val="1"/>
      <w:numFmt w:val="decimal"/>
      <w:lvlText w:val="%1.%2.%3.%4.%5.%6.%7.%8.%9"/>
      <w:lvlJc w:val="left"/>
      <w:pPr>
        <w:tabs>
          <w:tab w:val="left" w:pos="1003"/>
        </w:tabs>
        <w:ind w:left="1003" w:hanging="1584"/>
      </w:pPr>
      <w:rPr>
        <w:rFonts w:hint="eastAsia"/>
      </w:rPr>
    </w:lvl>
  </w:abstractNum>
  <w:abstractNum w:abstractNumId="1">
    <w:nsid w:val="48372C9A"/>
    <w:multiLevelType w:val="multilevel"/>
    <w:tmpl w:val="48372C9A"/>
    <w:lvl w:ilvl="0" w:tentative="0">
      <w:start w:val="1"/>
      <w:numFmt w:val="lowerLetter"/>
      <w:lvlText w:val="%1)"/>
      <w:lvlJc w:val="left"/>
      <w:pPr>
        <w:tabs>
          <w:tab w:val="left" w:pos="780"/>
        </w:tabs>
        <w:ind w:left="780" w:hanging="420"/>
      </w:p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54BD2B8C"/>
    <w:multiLevelType w:val="multilevel"/>
    <w:tmpl w:val="54BD2B8C"/>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683AAF"/>
    <w:multiLevelType w:val="multilevel"/>
    <w:tmpl w:val="5C683AAF"/>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M5Mjc3OWE4MzIxNzI5YWM0ZmZhNGY3ZDkyN2FhYTUifQ=="/>
  </w:docVars>
  <w:rsids>
    <w:rsidRoot w:val="0067564B"/>
    <w:rsid w:val="00016601"/>
    <w:rsid w:val="00020C23"/>
    <w:rsid w:val="00027900"/>
    <w:rsid w:val="00042AFE"/>
    <w:rsid w:val="000529B3"/>
    <w:rsid w:val="000632A5"/>
    <w:rsid w:val="000660D2"/>
    <w:rsid w:val="0008436D"/>
    <w:rsid w:val="000B2808"/>
    <w:rsid w:val="000E75FF"/>
    <w:rsid w:val="000F121F"/>
    <w:rsid w:val="000F5C7B"/>
    <w:rsid w:val="000F7AFE"/>
    <w:rsid w:val="00107802"/>
    <w:rsid w:val="00161580"/>
    <w:rsid w:val="0018394E"/>
    <w:rsid w:val="00184425"/>
    <w:rsid w:val="0019342E"/>
    <w:rsid w:val="00197CE0"/>
    <w:rsid w:val="001C0403"/>
    <w:rsid w:val="001C4FD0"/>
    <w:rsid w:val="001C6C9F"/>
    <w:rsid w:val="0021176A"/>
    <w:rsid w:val="0022372B"/>
    <w:rsid w:val="00237A77"/>
    <w:rsid w:val="0027746D"/>
    <w:rsid w:val="00281064"/>
    <w:rsid w:val="002B2849"/>
    <w:rsid w:val="002B28DB"/>
    <w:rsid w:val="002B3312"/>
    <w:rsid w:val="002E3511"/>
    <w:rsid w:val="002F7DE3"/>
    <w:rsid w:val="00322F55"/>
    <w:rsid w:val="003379D8"/>
    <w:rsid w:val="00340889"/>
    <w:rsid w:val="00340A73"/>
    <w:rsid w:val="00353E03"/>
    <w:rsid w:val="00361D59"/>
    <w:rsid w:val="003762D3"/>
    <w:rsid w:val="003B4ED4"/>
    <w:rsid w:val="003B4F00"/>
    <w:rsid w:val="003B6380"/>
    <w:rsid w:val="003E3F2D"/>
    <w:rsid w:val="003E5107"/>
    <w:rsid w:val="003F633A"/>
    <w:rsid w:val="00447AA1"/>
    <w:rsid w:val="00471B19"/>
    <w:rsid w:val="00497FCB"/>
    <w:rsid w:val="004A0FAB"/>
    <w:rsid w:val="004B3180"/>
    <w:rsid w:val="004C19A5"/>
    <w:rsid w:val="004E6C65"/>
    <w:rsid w:val="00502F44"/>
    <w:rsid w:val="00541168"/>
    <w:rsid w:val="0054756B"/>
    <w:rsid w:val="005509CB"/>
    <w:rsid w:val="0056478B"/>
    <w:rsid w:val="00574813"/>
    <w:rsid w:val="00584685"/>
    <w:rsid w:val="005A4D18"/>
    <w:rsid w:val="005C0AAC"/>
    <w:rsid w:val="005C52AB"/>
    <w:rsid w:val="005D1856"/>
    <w:rsid w:val="005D61D7"/>
    <w:rsid w:val="00601A91"/>
    <w:rsid w:val="0062784A"/>
    <w:rsid w:val="00644E6D"/>
    <w:rsid w:val="00651A8A"/>
    <w:rsid w:val="0067564B"/>
    <w:rsid w:val="00682549"/>
    <w:rsid w:val="0069253A"/>
    <w:rsid w:val="006968B8"/>
    <w:rsid w:val="006B6B01"/>
    <w:rsid w:val="006C0C06"/>
    <w:rsid w:val="006C2DED"/>
    <w:rsid w:val="006C53AF"/>
    <w:rsid w:val="006C5B3A"/>
    <w:rsid w:val="006E498D"/>
    <w:rsid w:val="006F3A4F"/>
    <w:rsid w:val="00706841"/>
    <w:rsid w:val="00727BFD"/>
    <w:rsid w:val="00727CB0"/>
    <w:rsid w:val="0073289B"/>
    <w:rsid w:val="00736CD4"/>
    <w:rsid w:val="00743AA6"/>
    <w:rsid w:val="007728FC"/>
    <w:rsid w:val="007863E1"/>
    <w:rsid w:val="007A2D2C"/>
    <w:rsid w:val="007A5EBD"/>
    <w:rsid w:val="007E7F4D"/>
    <w:rsid w:val="007F058C"/>
    <w:rsid w:val="007F5504"/>
    <w:rsid w:val="007F6FDB"/>
    <w:rsid w:val="00815769"/>
    <w:rsid w:val="00852A39"/>
    <w:rsid w:val="00870215"/>
    <w:rsid w:val="00895AFB"/>
    <w:rsid w:val="008B0FD4"/>
    <w:rsid w:val="008B7180"/>
    <w:rsid w:val="008C05C5"/>
    <w:rsid w:val="008D16E9"/>
    <w:rsid w:val="008E083E"/>
    <w:rsid w:val="00905847"/>
    <w:rsid w:val="00914F39"/>
    <w:rsid w:val="009204DD"/>
    <w:rsid w:val="0092130B"/>
    <w:rsid w:val="009363DF"/>
    <w:rsid w:val="00964495"/>
    <w:rsid w:val="00995CA7"/>
    <w:rsid w:val="009A5FDD"/>
    <w:rsid w:val="009B6F39"/>
    <w:rsid w:val="009D17AA"/>
    <w:rsid w:val="009D6E9E"/>
    <w:rsid w:val="00A103FC"/>
    <w:rsid w:val="00A549AF"/>
    <w:rsid w:val="00AE5639"/>
    <w:rsid w:val="00AF5918"/>
    <w:rsid w:val="00AF61CB"/>
    <w:rsid w:val="00AF70E7"/>
    <w:rsid w:val="00AF75D5"/>
    <w:rsid w:val="00B06FFE"/>
    <w:rsid w:val="00B23CE7"/>
    <w:rsid w:val="00B35EAC"/>
    <w:rsid w:val="00B41B0D"/>
    <w:rsid w:val="00B55A10"/>
    <w:rsid w:val="00B7145B"/>
    <w:rsid w:val="00B8150C"/>
    <w:rsid w:val="00BB1F88"/>
    <w:rsid w:val="00BF5E24"/>
    <w:rsid w:val="00BF6D94"/>
    <w:rsid w:val="00C10862"/>
    <w:rsid w:val="00C1404B"/>
    <w:rsid w:val="00C148CF"/>
    <w:rsid w:val="00C16BE9"/>
    <w:rsid w:val="00C423C9"/>
    <w:rsid w:val="00C50BD7"/>
    <w:rsid w:val="00C7324D"/>
    <w:rsid w:val="00C93C24"/>
    <w:rsid w:val="00CC054D"/>
    <w:rsid w:val="00CD1B22"/>
    <w:rsid w:val="00CE7ACB"/>
    <w:rsid w:val="00CF0610"/>
    <w:rsid w:val="00CF4FCF"/>
    <w:rsid w:val="00D0044B"/>
    <w:rsid w:val="00D15E80"/>
    <w:rsid w:val="00D641BE"/>
    <w:rsid w:val="00D974E6"/>
    <w:rsid w:val="00DB58E6"/>
    <w:rsid w:val="00DC0A8E"/>
    <w:rsid w:val="00DC7EE4"/>
    <w:rsid w:val="00DD28DF"/>
    <w:rsid w:val="00E43315"/>
    <w:rsid w:val="00E56117"/>
    <w:rsid w:val="00E71C55"/>
    <w:rsid w:val="00E7359E"/>
    <w:rsid w:val="00E7657F"/>
    <w:rsid w:val="00E83592"/>
    <w:rsid w:val="00E855DF"/>
    <w:rsid w:val="00E97977"/>
    <w:rsid w:val="00EA7ED9"/>
    <w:rsid w:val="00EB11F6"/>
    <w:rsid w:val="00ED460C"/>
    <w:rsid w:val="00EE2A58"/>
    <w:rsid w:val="00F00DA0"/>
    <w:rsid w:val="00F11135"/>
    <w:rsid w:val="00F2567D"/>
    <w:rsid w:val="00F25D39"/>
    <w:rsid w:val="00F315DF"/>
    <w:rsid w:val="00F326E8"/>
    <w:rsid w:val="00F33445"/>
    <w:rsid w:val="00F50A2C"/>
    <w:rsid w:val="00F54E44"/>
    <w:rsid w:val="00F57474"/>
    <w:rsid w:val="00F65652"/>
    <w:rsid w:val="00FA22AD"/>
    <w:rsid w:val="00FA299D"/>
    <w:rsid w:val="00FA500F"/>
    <w:rsid w:val="00FA79A7"/>
    <w:rsid w:val="00FC3191"/>
    <w:rsid w:val="00FC5A6D"/>
    <w:rsid w:val="00FD7F51"/>
    <w:rsid w:val="00FE7025"/>
    <w:rsid w:val="04B67325"/>
    <w:rsid w:val="0AA60840"/>
    <w:rsid w:val="0E6A6868"/>
    <w:rsid w:val="0EFF16A6"/>
    <w:rsid w:val="1095271D"/>
    <w:rsid w:val="137D2B9A"/>
    <w:rsid w:val="14CA1097"/>
    <w:rsid w:val="19CC03D7"/>
    <w:rsid w:val="1E456B14"/>
    <w:rsid w:val="1E4744D0"/>
    <w:rsid w:val="1E9D0594"/>
    <w:rsid w:val="23BC14BC"/>
    <w:rsid w:val="23EB6300"/>
    <w:rsid w:val="29067CF1"/>
    <w:rsid w:val="2B121F6F"/>
    <w:rsid w:val="2C2E0A7D"/>
    <w:rsid w:val="2F61116A"/>
    <w:rsid w:val="2F8337D6"/>
    <w:rsid w:val="312477D3"/>
    <w:rsid w:val="35066A3B"/>
    <w:rsid w:val="385E39E8"/>
    <w:rsid w:val="3A7B57D6"/>
    <w:rsid w:val="3A7F9676"/>
    <w:rsid w:val="3BA92BA7"/>
    <w:rsid w:val="3E7569E0"/>
    <w:rsid w:val="3FA255B3"/>
    <w:rsid w:val="3FBBC4B7"/>
    <w:rsid w:val="409C46F8"/>
    <w:rsid w:val="435968D0"/>
    <w:rsid w:val="44F00B6E"/>
    <w:rsid w:val="46222A6D"/>
    <w:rsid w:val="46257826"/>
    <w:rsid w:val="478F0B12"/>
    <w:rsid w:val="47AD38B3"/>
    <w:rsid w:val="48882843"/>
    <w:rsid w:val="4CA94424"/>
    <w:rsid w:val="509039B6"/>
    <w:rsid w:val="50F870D7"/>
    <w:rsid w:val="556E2E5B"/>
    <w:rsid w:val="56821842"/>
    <w:rsid w:val="5815758F"/>
    <w:rsid w:val="59B7793C"/>
    <w:rsid w:val="5BB10BFF"/>
    <w:rsid w:val="5C7C5E93"/>
    <w:rsid w:val="60395667"/>
    <w:rsid w:val="642567FE"/>
    <w:rsid w:val="658F1417"/>
    <w:rsid w:val="672A5D0A"/>
    <w:rsid w:val="67423ED5"/>
    <w:rsid w:val="68467646"/>
    <w:rsid w:val="68E1064A"/>
    <w:rsid w:val="6AB057F4"/>
    <w:rsid w:val="6B017FA5"/>
    <w:rsid w:val="6BB8240C"/>
    <w:rsid w:val="6C881D98"/>
    <w:rsid w:val="6DEB36DF"/>
    <w:rsid w:val="6FD61CB1"/>
    <w:rsid w:val="72121874"/>
    <w:rsid w:val="73661C34"/>
    <w:rsid w:val="74A80ABB"/>
    <w:rsid w:val="74F85468"/>
    <w:rsid w:val="75EE06F4"/>
    <w:rsid w:val="77483130"/>
    <w:rsid w:val="795D58B9"/>
    <w:rsid w:val="79CBBC32"/>
    <w:rsid w:val="7A6510DB"/>
    <w:rsid w:val="7A936BA4"/>
    <w:rsid w:val="7B3B7878"/>
    <w:rsid w:val="7B526212"/>
    <w:rsid w:val="7EFBAC26"/>
    <w:rsid w:val="7FB85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kern w:val="0"/>
      <w:sz w:val="22"/>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6">
    <w:name w:val="Body Text"/>
    <w:basedOn w:val="1"/>
    <w:link w:val="20"/>
    <w:qFormat/>
    <w:uiPriority w:val="99"/>
    <w:pPr>
      <w:widowControl w:val="0"/>
      <w:spacing w:after="120" w:line="240" w:lineRule="auto"/>
      <w:jc w:val="both"/>
    </w:pPr>
    <w:rPr>
      <w:rFonts w:ascii="Times New Roman" w:hAnsi="Times New Roman"/>
      <w:kern w:val="2"/>
      <w:sz w:val="21"/>
      <w:szCs w:val="20"/>
    </w:rPr>
  </w:style>
  <w:style w:type="paragraph" w:styleId="7">
    <w:name w:val="toc 3"/>
    <w:basedOn w:val="1"/>
    <w:next w:val="1"/>
    <w:unhideWhenUsed/>
    <w:qFormat/>
    <w:uiPriority w:val="39"/>
    <w:pPr>
      <w:spacing w:after="100" w:line="259" w:lineRule="auto"/>
      <w:ind w:left="440"/>
    </w:pPr>
    <w:rPr>
      <w:rFonts w:asciiTheme="minorHAnsi" w:hAnsiTheme="minorHAnsi" w:eastAsiaTheme="minorEastAsia"/>
    </w:rPr>
  </w:style>
  <w:style w:type="paragraph" w:styleId="8">
    <w:name w:val="Balloon Text"/>
    <w:basedOn w:val="1"/>
    <w:link w:val="25"/>
    <w:semiHidden/>
    <w:unhideWhenUsed/>
    <w:qFormat/>
    <w:uiPriority w:val="99"/>
    <w:pPr>
      <w:spacing w:after="0" w:line="240" w:lineRule="auto"/>
    </w:pPr>
    <w:rPr>
      <w:sz w:val="18"/>
      <w:szCs w:val="18"/>
    </w:rPr>
  </w:style>
  <w:style w:type="paragraph" w:styleId="9">
    <w:name w:val="footer"/>
    <w:basedOn w:val="1"/>
    <w:link w:val="18"/>
    <w:unhideWhenUsed/>
    <w:qFormat/>
    <w:uiPriority w:val="99"/>
    <w:pPr>
      <w:tabs>
        <w:tab w:val="center" w:pos="4153"/>
        <w:tab w:val="right" w:pos="8306"/>
      </w:tabs>
      <w:snapToGrid w:val="0"/>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spacing w:after="100" w:line="259" w:lineRule="auto"/>
    </w:pPr>
    <w:rPr>
      <w:rFonts w:asciiTheme="minorHAnsi" w:hAnsiTheme="minorHAnsi" w:eastAsiaTheme="minorEastAsia"/>
    </w:rPr>
  </w:style>
  <w:style w:type="paragraph" w:styleId="12">
    <w:name w:val="toc 2"/>
    <w:basedOn w:val="1"/>
    <w:next w:val="1"/>
    <w:unhideWhenUsed/>
    <w:qFormat/>
    <w:uiPriority w:val="39"/>
    <w:pPr>
      <w:spacing w:after="100" w:line="259" w:lineRule="auto"/>
      <w:ind w:left="220"/>
    </w:pPr>
    <w:rPr>
      <w:rFonts w:asciiTheme="minorHAnsi" w:hAnsiTheme="minorHAnsi" w:eastAsiaTheme="minorEastAsia"/>
    </w:rPr>
  </w:style>
  <w:style w:type="paragraph" w:styleId="13">
    <w:name w:val="Normal (Web)"/>
    <w:basedOn w:val="1"/>
    <w:semiHidden/>
    <w:unhideWhenUsed/>
    <w:qFormat/>
    <w:uiPriority w:val="99"/>
    <w:rPr>
      <w:sz w:val="24"/>
    </w:r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customStyle="1" w:styleId="17">
    <w:name w:val="页眉 Char"/>
    <w:basedOn w:val="15"/>
    <w:link w:val="10"/>
    <w:qFormat/>
    <w:uiPriority w:val="99"/>
    <w:rPr>
      <w:sz w:val="18"/>
      <w:szCs w:val="18"/>
    </w:rPr>
  </w:style>
  <w:style w:type="character" w:customStyle="1" w:styleId="18">
    <w:name w:val="页脚 Char"/>
    <w:basedOn w:val="15"/>
    <w:link w:val="9"/>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正文文本 Char"/>
    <w:basedOn w:val="15"/>
    <w:link w:val="6"/>
    <w:qFormat/>
    <w:uiPriority w:val="99"/>
    <w:rPr>
      <w:rFonts w:ascii="Times New Roman" w:hAnsi="Times New Roman" w:eastAsia="宋体" w:cs="Times New Roman"/>
      <w:szCs w:val="20"/>
    </w:rPr>
  </w:style>
  <w:style w:type="character" w:customStyle="1" w:styleId="21">
    <w:name w:val="标题 1 Char"/>
    <w:basedOn w:val="15"/>
    <w:link w:val="2"/>
    <w:qFormat/>
    <w:uiPriority w:val="9"/>
    <w:rPr>
      <w:rFonts w:ascii="Calibri" w:hAnsi="Calibri" w:eastAsia="宋体" w:cs="Times New Roman"/>
      <w:b/>
      <w:bCs/>
      <w:kern w:val="44"/>
      <w:sz w:val="44"/>
      <w:szCs w:val="44"/>
    </w:rPr>
  </w:style>
  <w:style w:type="paragraph" w:customStyle="1" w:styleId="22">
    <w:name w:val="TOC Heading"/>
    <w:basedOn w:val="2"/>
    <w:next w:val="1"/>
    <w:unhideWhenUsed/>
    <w:qFormat/>
    <w:uiPriority w:val="39"/>
    <w:pPr>
      <w:spacing w:before="240"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3">
    <w:name w:val="标题 2 Char"/>
    <w:basedOn w:val="15"/>
    <w:link w:val="3"/>
    <w:semiHidden/>
    <w:qFormat/>
    <w:uiPriority w:val="9"/>
    <w:rPr>
      <w:rFonts w:asciiTheme="majorHAnsi" w:hAnsiTheme="majorHAnsi" w:eastAsiaTheme="majorEastAsia" w:cstheme="majorBidi"/>
      <w:b/>
      <w:bCs/>
      <w:kern w:val="0"/>
      <w:sz w:val="32"/>
      <w:szCs w:val="32"/>
    </w:rPr>
  </w:style>
  <w:style w:type="character" w:customStyle="1" w:styleId="24">
    <w:name w:val="标题 3 Char"/>
    <w:basedOn w:val="15"/>
    <w:link w:val="4"/>
    <w:semiHidden/>
    <w:qFormat/>
    <w:uiPriority w:val="9"/>
    <w:rPr>
      <w:rFonts w:ascii="Calibri" w:hAnsi="Calibri" w:eastAsia="宋体" w:cs="Times New Roman"/>
      <w:b/>
      <w:bCs/>
      <w:kern w:val="0"/>
      <w:sz w:val="32"/>
      <w:szCs w:val="32"/>
    </w:rPr>
  </w:style>
  <w:style w:type="character" w:customStyle="1" w:styleId="25">
    <w:name w:val="批注框文本 Char"/>
    <w:basedOn w:val="15"/>
    <w:link w:val="8"/>
    <w:semiHidden/>
    <w:qFormat/>
    <w:uiPriority w:val="99"/>
    <w:rPr>
      <w:rFonts w:ascii="Calibri" w:hAnsi="Calibri" w:eastAsia="宋体" w:cs="Times New Roman"/>
      <w:kern w:val="0"/>
      <w:sz w:val="18"/>
      <w:szCs w:val="18"/>
    </w:rPr>
  </w:style>
  <w:style w:type="paragraph" w:customStyle="1" w:styleId="26">
    <w:name w:val="Table Text"/>
    <w:basedOn w:val="1"/>
    <w:semiHidden/>
    <w:qFormat/>
    <w:uiPriority w:val="0"/>
    <w:rPr>
      <w:rFonts w:ascii="宋体" w:hAnsi="宋体" w:eastAsia="宋体" w:cs="宋体"/>
      <w:sz w:val="20"/>
      <w:szCs w:val="20"/>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样式 标题 6无节标题8二级项 + 首行缩进:  0 厘米"/>
    <w:basedOn w:val="1"/>
    <w:next w:val="1"/>
    <w:autoRedefine/>
    <w:qFormat/>
    <w:uiPriority w:val="0"/>
    <w:pPr>
      <w:widowControl/>
      <w:numPr>
        <w:ilvl w:val="0"/>
        <w:numId w:val="1"/>
      </w:numPr>
      <w:adjustRightInd w:val="0"/>
      <w:snapToGrid w:val="0"/>
      <w:spacing w:line="240" w:lineRule="auto"/>
      <w:ind w:firstLineChars="0"/>
      <w:jc w:val="center"/>
    </w:pPr>
    <w:rPr>
      <w:rFonts w:ascii="宋体" w:cs="宋体"/>
      <w:szCs w:val="20"/>
    </w:rPr>
  </w:style>
  <w:style w:type="paragraph" w:customStyle="1" w:styleId="29">
    <w:name w:val="表格正文"/>
    <w:basedOn w:val="1"/>
    <w:qFormat/>
    <w:uiPriority w:val="0"/>
    <w:pPr>
      <w:spacing w:line="440" w:lineRule="exact"/>
      <w:ind w:firstLine="0" w:firstLineChars="0"/>
      <w:jc w:val="center"/>
    </w:pPr>
    <w:rPr>
      <w:rFonts w:cs="Arial"/>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AE2A8-4872-43F7-B927-F1B889E60BFB}">
  <ds:schemaRefs/>
</ds:datastoreItem>
</file>

<file path=docProps/app.xml><?xml version="1.0" encoding="utf-8"?>
<Properties xmlns="http://schemas.openxmlformats.org/officeDocument/2006/extended-properties" xmlns:vt="http://schemas.openxmlformats.org/officeDocument/2006/docPropsVTypes">
  <Template>Normal</Template>
  <Pages>24</Pages>
  <Words>11592</Words>
  <Characters>13732</Characters>
  <Lines>100</Lines>
  <Paragraphs>28</Paragraphs>
  <TotalTime>46</TotalTime>
  <ScaleCrop>false</ScaleCrop>
  <LinksUpToDate>false</LinksUpToDate>
  <CharactersWithSpaces>14281</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2022-01-29T23:25:00Z</dcterms:created>
  <dc:creator>王和枫</dc:creator>
  <cp:lastModifiedBy>顾晗</cp:lastModifiedBy>
  <cp:lastPrinted>2023-03-01T22:04:00Z</cp:lastPrinted>
  <dcterms:modified xsi:type="dcterms:W3CDTF">2026-01-30T08:01:45Z</dcterms:modified>
  <cp:revision>314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AB05D32F00234F0DB116E87BBDF84487_13</vt:lpwstr>
  </property>
  <property fmtid="{D5CDD505-2E9C-101B-9397-08002B2CF9AE}" pid="4" name="KSOTemplateDocerSaveRecord">
    <vt:lpwstr>eyJoZGlkIjoiNzdhMDY4ZGNlOWY1OGNmN2YyOTRhMzRjMzc4NjVhZGIiLCJ1c2VySWQiOiIxMTk4NDkyNDUxIn0=</vt:lpwstr>
  </property>
</Properties>
</file>